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sz w:val="44"/>
          <w:szCs w:val="44"/>
        </w:rPr>
      </w:pPr>
    </w:p>
    <w:p>
      <w:pPr>
        <w:jc w:val="center"/>
        <w:rPr>
          <w:rFonts w:ascii="宋体" w:hAnsi="宋体"/>
          <w:b/>
          <w:bCs/>
          <w:sz w:val="44"/>
          <w:szCs w:val="44"/>
        </w:rPr>
      </w:pPr>
      <w:bookmarkStart w:id="0" w:name="_Hlk69930670"/>
      <w:r>
        <w:rPr>
          <w:rFonts w:hint="eastAsia" w:ascii="宋体" w:hAnsi="宋体"/>
          <w:b/>
          <w:bCs/>
          <w:sz w:val="44"/>
          <w:szCs w:val="44"/>
        </w:rPr>
        <w:t>山东省优秀测绘地理信息工程评选办法</w:t>
      </w:r>
    </w:p>
    <w:bookmarkEnd w:id="0"/>
    <w:p>
      <w:pPr>
        <w:rPr>
          <w:b/>
          <w:bCs/>
          <w:szCs w:val="21"/>
        </w:rPr>
      </w:pPr>
    </w:p>
    <w:p>
      <w:pPr>
        <w:widowControl/>
        <w:shd w:val="clear" w:color="auto" w:fill="FFFFFF"/>
        <w:spacing w:before="156" w:beforeLines="50" w:after="156" w:afterLines="50" w:line="520" w:lineRule="exact"/>
        <w:jc w:val="center"/>
        <w:rPr>
          <w:rFonts w:ascii="黑体" w:hAnsi="黑体" w:eastAsia="黑体" w:cs="宋体"/>
          <w:kern w:val="0"/>
          <w:sz w:val="32"/>
          <w:szCs w:val="32"/>
        </w:rPr>
      </w:pPr>
      <w:r>
        <w:rPr>
          <w:rFonts w:hint="eastAsia" w:ascii="黑体" w:hAnsi="黑体" w:eastAsia="黑体" w:cs="宋体"/>
          <w:kern w:val="0"/>
          <w:sz w:val="32"/>
          <w:szCs w:val="32"/>
        </w:rPr>
        <w:t>第一章  总 则</w:t>
      </w:r>
    </w:p>
    <w:p>
      <w:pPr>
        <w:widowControl/>
        <w:shd w:val="clear" w:color="auto" w:fill="FFFFFF"/>
        <w:spacing w:line="560" w:lineRule="exact"/>
        <w:rPr>
          <w:rFonts w:ascii="华文仿宋" w:hAnsi="华文仿宋" w:eastAsia="华文仿宋" w:cs="宋体"/>
          <w:kern w:val="0"/>
          <w:sz w:val="32"/>
          <w:szCs w:val="32"/>
        </w:rPr>
      </w:pPr>
      <w:r>
        <w:rPr>
          <w:rFonts w:hint="eastAsia" w:ascii="仿宋_GB2312" w:hAnsi="宋体" w:eastAsia="仿宋_GB2312" w:cs="宋体"/>
          <w:kern w:val="0"/>
          <w:sz w:val="30"/>
          <w:szCs w:val="30"/>
        </w:rPr>
        <w:t>　　</w:t>
      </w:r>
      <w:r>
        <w:rPr>
          <w:rFonts w:hint="eastAsia" w:ascii="华文仿宋" w:hAnsi="华文仿宋" w:eastAsia="华文仿宋" w:cs="宋体"/>
          <w:b/>
          <w:kern w:val="0"/>
          <w:sz w:val="32"/>
          <w:szCs w:val="32"/>
        </w:rPr>
        <w:t xml:space="preserve">第一条  </w:t>
      </w:r>
      <w:r>
        <w:rPr>
          <w:rFonts w:hint="eastAsia" w:ascii="华文仿宋" w:hAnsi="华文仿宋" w:eastAsia="华文仿宋" w:cs="宋体"/>
          <w:kern w:val="0"/>
          <w:sz w:val="32"/>
          <w:szCs w:val="32"/>
        </w:rPr>
        <w:t>为推动测绘地理信息工程项目的科学管理，提高我省测绘地理信息工程的成果质量和科技含量，鼓励测绘单位争创优秀测绘地理信息工程，为经济社会发展提供优质测绘保障服务，依据国家有关规定，结合我省实际，制定本办法。</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第二条</w:t>
      </w:r>
      <w:r>
        <w:rPr>
          <w:rFonts w:hint="eastAsia" w:ascii="华文仿宋" w:hAnsi="华文仿宋" w:eastAsia="华文仿宋" w:cs="宋体"/>
          <w:kern w:val="0"/>
          <w:sz w:val="32"/>
          <w:szCs w:val="32"/>
        </w:rPr>
        <w:t xml:space="preserve">  山东省优秀测绘地理信息工程（以下简称“优秀测绘工程”）的评选工作，由山东省测绘地理信息行业协会（以下简称“省测绘行业协会”）负责组织，具体评选工作由省测绘行业协会组织评选委员会实施。</w:t>
      </w:r>
    </w:p>
    <w:p>
      <w:pPr>
        <w:widowControl/>
        <w:shd w:val="clear" w:color="auto" w:fill="FFFFFF"/>
        <w:spacing w:line="560" w:lineRule="exact"/>
        <w:ind w:firstLine="600"/>
        <w:rPr>
          <w:rFonts w:ascii="华文仿宋" w:hAnsi="华文仿宋" w:eastAsia="华文仿宋" w:cs="宋体"/>
          <w:kern w:val="0"/>
          <w:sz w:val="32"/>
          <w:szCs w:val="32"/>
        </w:rPr>
      </w:pPr>
      <w:r>
        <w:rPr>
          <w:rFonts w:hint="eastAsia" w:ascii="华文仿宋" w:hAnsi="华文仿宋" w:eastAsia="华文仿宋" w:cs="宋体"/>
          <w:b/>
          <w:kern w:val="0"/>
          <w:sz w:val="32"/>
          <w:szCs w:val="32"/>
        </w:rPr>
        <w:t>第三条</w:t>
      </w:r>
      <w:r>
        <w:rPr>
          <w:rFonts w:hint="eastAsia" w:ascii="华文仿宋" w:hAnsi="华文仿宋" w:eastAsia="华文仿宋" w:cs="宋体"/>
          <w:kern w:val="0"/>
          <w:sz w:val="32"/>
          <w:szCs w:val="32"/>
        </w:rPr>
        <w:t xml:space="preserve">  优秀测绘工程每年评选一次，分设一、二、三等奖，</w:t>
      </w:r>
      <w:r>
        <w:rPr>
          <w:rFonts w:hint="eastAsia" w:ascii="华文仿宋" w:hAnsi="华文仿宋" w:eastAsia="华文仿宋" w:cs="宋体"/>
          <w:bCs/>
          <w:kern w:val="0"/>
          <w:sz w:val="32"/>
          <w:szCs w:val="32"/>
        </w:rPr>
        <w:t>一、二、三等奖占比原则上不超过申报项目总数的15%、25%、40%。</w:t>
      </w:r>
      <w:r>
        <w:rPr>
          <w:rFonts w:hint="eastAsia" w:ascii="华文仿宋" w:hAnsi="华文仿宋" w:eastAsia="华文仿宋" w:cs="宋体"/>
          <w:kern w:val="0"/>
          <w:sz w:val="32"/>
          <w:szCs w:val="32"/>
        </w:rPr>
        <w:t>获奖人员按获奖项目参与人员在申报表中的排名顺序确定，一、二、三等奖分别取前12、9、6名表彰。</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第四条</w:t>
      </w:r>
      <w:r>
        <w:rPr>
          <w:rFonts w:hint="eastAsia" w:ascii="华文仿宋" w:hAnsi="华文仿宋" w:eastAsia="华文仿宋" w:cs="宋体"/>
          <w:kern w:val="0"/>
          <w:sz w:val="32"/>
          <w:szCs w:val="32"/>
        </w:rPr>
        <w:t xml:space="preserve">  优秀测绘工程奖的评选，坚持自愿、公开、公正的原则。</w:t>
      </w:r>
    </w:p>
    <w:p>
      <w:pPr>
        <w:widowControl/>
        <w:shd w:val="clear" w:color="auto" w:fill="FFFFFF"/>
        <w:spacing w:before="156" w:beforeLines="50" w:after="156" w:afterLines="50" w:line="520" w:lineRule="exact"/>
        <w:jc w:val="center"/>
        <w:rPr>
          <w:rFonts w:ascii="黑体" w:hAnsi="黑体" w:eastAsia="黑体" w:cs="宋体"/>
          <w:kern w:val="0"/>
          <w:sz w:val="32"/>
          <w:szCs w:val="32"/>
        </w:rPr>
      </w:pPr>
      <w:r>
        <w:rPr>
          <w:rFonts w:hint="eastAsia" w:ascii="黑体" w:hAnsi="黑体" w:eastAsia="黑体" w:cs="宋体"/>
          <w:kern w:val="0"/>
          <w:sz w:val="32"/>
          <w:szCs w:val="32"/>
        </w:rPr>
        <w:t>第二章  评选范围和条件</w:t>
      </w:r>
    </w:p>
    <w:p>
      <w:pPr>
        <w:widowControl/>
        <w:shd w:val="clear" w:color="auto" w:fill="FFFFFF"/>
        <w:spacing w:line="560" w:lineRule="exact"/>
        <w:ind w:firstLine="641" w:firstLineChars="200"/>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第五条  </w:t>
      </w:r>
      <w:r>
        <w:rPr>
          <w:rFonts w:hint="eastAsia" w:ascii="华文仿宋" w:hAnsi="华文仿宋" w:eastAsia="华文仿宋" w:cs="宋体"/>
          <w:kern w:val="0"/>
          <w:sz w:val="32"/>
          <w:szCs w:val="32"/>
        </w:rPr>
        <w:t>申报单位应是省测绘行业协会会员单位。</w:t>
      </w:r>
    </w:p>
    <w:p>
      <w:pPr>
        <w:widowControl/>
        <w:shd w:val="clear" w:color="auto" w:fill="FFFFFF"/>
        <w:spacing w:line="560" w:lineRule="exact"/>
        <w:ind w:firstLine="641" w:firstLineChars="200"/>
        <w:rPr>
          <w:rFonts w:ascii="华文仿宋" w:hAnsi="华文仿宋" w:eastAsia="华文仿宋" w:cs="宋体"/>
          <w:kern w:val="0"/>
          <w:sz w:val="32"/>
          <w:szCs w:val="32"/>
        </w:rPr>
      </w:pPr>
      <w:r>
        <w:rPr>
          <w:rFonts w:hint="eastAsia" w:ascii="华文仿宋" w:hAnsi="华文仿宋" w:eastAsia="华文仿宋" w:cs="宋体"/>
          <w:b/>
          <w:kern w:val="0"/>
          <w:sz w:val="32"/>
          <w:szCs w:val="32"/>
        </w:rPr>
        <w:t>第六条</w:t>
      </w:r>
      <w:r>
        <w:rPr>
          <w:rFonts w:hint="eastAsia" w:ascii="华文仿宋" w:hAnsi="华文仿宋" w:eastAsia="华文仿宋" w:cs="宋体"/>
          <w:kern w:val="0"/>
          <w:sz w:val="32"/>
          <w:szCs w:val="32"/>
        </w:rPr>
        <w:t xml:space="preserve">  </w:t>
      </w:r>
      <w:bookmarkStart w:id="1" w:name="_Hlk69934166"/>
      <w:r>
        <w:rPr>
          <w:rFonts w:hint="eastAsia" w:ascii="华文仿宋" w:hAnsi="华文仿宋" w:eastAsia="华文仿宋" w:cs="宋体"/>
          <w:kern w:val="0"/>
          <w:sz w:val="32"/>
          <w:szCs w:val="32"/>
        </w:rPr>
        <w:t>测绘地理信息工程项目</w:t>
      </w:r>
      <w:bookmarkEnd w:id="1"/>
      <w:r>
        <w:rPr>
          <w:rFonts w:hint="eastAsia" w:ascii="华文仿宋" w:hAnsi="华文仿宋" w:eastAsia="华文仿宋" w:cs="宋体"/>
          <w:kern w:val="0"/>
          <w:sz w:val="32"/>
          <w:szCs w:val="32"/>
        </w:rPr>
        <w:t>包括：大地测量、测绘航空摄影、摄影测量与遥感、地理信息系统工程、工程测量、海洋测绘（含港口和内陆水域测量）、</w:t>
      </w:r>
      <w:r>
        <w:rPr>
          <w:rFonts w:hint="eastAsia" w:ascii="华文仿宋" w:hAnsi="华文仿宋" w:eastAsia="华文仿宋"/>
          <w:kern w:val="0"/>
          <w:sz w:val="32"/>
          <w:szCs w:val="32"/>
        </w:rPr>
        <w:t>不动产</w:t>
      </w:r>
      <w:r>
        <w:rPr>
          <w:rFonts w:ascii="华文仿宋" w:hAnsi="华文仿宋" w:eastAsia="华文仿宋"/>
          <w:kern w:val="0"/>
          <w:sz w:val="32"/>
          <w:szCs w:val="32"/>
        </w:rPr>
        <w:t>测绘</w:t>
      </w:r>
      <w:r>
        <w:rPr>
          <w:rFonts w:hint="eastAsia" w:ascii="华文仿宋" w:hAnsi="华文仿宋" w:eastAsia="华文仿宋" w:cs="宋体"/>
          <w:kern w:val="0"/>
          <w:sz w:val="32"/>
          <w:szCs w:val="32"/>
        </w:rPr>
        <w:t>（地籍测绘、房产测绘、行政区域界线测绘)、地图编制、导航电子地图制作、互联网地图服务</w:t>
      </w:r>
      <w:bookmarkStart w:id="2" w:name="_Hlk69934268"/>
      <w:r>
        <w:rPr>
          <w:rFonts w:hint="eastAsia" w:ascii="华文仿宋" w:hAnsi="华文仿宋" w:eastAsia="华文仿宋" w:cs="宋体"/>
          <w:kern w:val="0"/>
          <w:sz w:val="32"/>
          <w:szCs w:val="32"/>
        </w:rPr>
        <w:t>和自然资源调查监测</w:t>
      </w:r>
      <w:bookmarkEnd w:id="2"/>
      <w:r>
        <w:rPr>
          <w:rFonts w:hint="eastAsia" w:ascii="华文仿宋" w:hAnsi="华文仿宋" w:eastAsia="华文仿宋" w:cs="宋体"/>
          <w:kern w:val="0"/>
          <w:sz w:val="32"/>
          <w:szCs w:val="32"/>
        </w:rPr>
        <w:t>等。</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第七条</w:t>
      </w:r>
      <w:r>
        <w:rPr>
          <w:rFonts w:hint="eastAsia" w:ascii="华文仿宋" w:hAnsi="华文仿宋" w:eastAsia="华文仿宋" w:cs="宋体"/>
          <w:kern w:val="0"/>
          <w:sz w:val="32"/>
          <w:szCs w:val="32"/>
        </w:rPr>
        <w:t xml:space="preserve">  申报优秀测绘工程的项目应当符合以下条件：</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（一）技术先进、管理科学、质量优良、效益明显；</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（二）测绘地理信息活动符合法律法规和现行标准、规范的规定；</w:t>
      </w:r>
    </w:p>
    <w:p>
      <w:pPr>
        <w:widowControl/>
        <w:spacing w:line="560" w:lineRule="exact"/>
        <w:ind w:firstLine="640" w:firstLineChars="200"/>
        <w:rPr>
          <w:sz w:val="28"/>
          <w:szCs w:val="36"/>
          <w:highlight w:val="yellow"/>
        </w:rPr>
      </w:pPr>
      <w:r>
        <w:rPr>
          <w:rFonts w:hint="eastAsia" w:ascii="华文仿宋" w:hAnsi="华文仿宋" w:eastAsia="华文仿宋" w:cs="宋体"/>
          <w:kern w:val="0"/>
          <w:sz w:val="32"/>
          <w:szCs w:val="32"/>
        </w:rPr>
        <w:t>（三）申报项目在申报前已完成，且成果已交付用户使用；</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（四）项目申报前已经国家批准的测绘产品质量检验机构检验合格，或已通过甲方、主管部门组织的验收、鉴定，有定性、定量的验收、鉴定报告；</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（五）用户满意。</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第八条</w:t>
      </w:r>
      <w:r>
        <w:rPr>
          <w:rFonts w:hint="eastAsia" w:ascii="华文仿宋" w:hAnsi="华文仿宋" w:eastAsia="华文仿宋" w:cs="宋体"/>
          <w:kern w:val="0"/>
          <w:sz w:val="32"/>
          <w:szCs w:val="32"/>
        </w:rPr>
        <w:t xml:space="preserve">  曾经申报过优秀测绘工程的项目，无论获奖与否，不得再次申报。</w:t>
      </w:r>
    </w:p>
    <w:p>
      <w:pPr>
        <w:widowControl/>
        <w:spacing w:line="560" w:lineRule="exact"/>
        <w:ind w:firstLine="641" w:firstLineChars="200"/>
        <w:rPr>
          <w:rFonts w:ascii="华文仿宋" w:hAnsi="华文仿宋" w:eastAsia="华文仿宋" w:cs="宋体"/>
          <w:kern w:val="0"/>
          <w:sz w:val="32"/>
          <w:szCs w:val="32"/>
        </w:rPr>
      </w:pPr>
      <w:r>
        <w:rPr>
          <w:rFonts w:hint="eastAsia" w:ascii="华文仿宋" w:hAnsi="华文仿宋" w:eastAsia="华文仿宋" w:cs="宋体"/>
          <w:b/>
          <w:kern w:val="0"/>
          <w:sz w:val="32"/>
          <w:szCs w:val="32"/>
        </w:rPr>
        <w:t>第九条</w:t>
      </w:r>
      <w:r>
        <w:rPr>
          <w:rFonts w:hint="eastAsia" w:ascii="华文仿宋" w:hAnsi="华文仿宋" w:eastAsia="华文仿宋" w:cs="宋体"/>
          <w:kern w:val="0"/>
          <w:sz w:val="32"/>
          <w:szCs w:val="32"/>
        </w:rPr>
        <w:t xml:space="preserve">  涉密的测绘地理信息项目参加评选，必须有项目主管部门同意申报的证明；地图工程项目应经地图审查机构审查。</w:t>
      </w:r>
    </w:p>
    <w:p>
      <w:pPr>
        <w:widowControl/>
        <w:shd w:val="clear" w:color="auto" w:fill="FFFFFF"/>
        <w:spacing w:before="156" w:beforeLines="50" w:after="156" w:afterLines="50" w:line="520" w:lineRule="exact"/>
        <w:jc w:val="center"/>
        <w:rPr>
          <w:rFonts w:ascii="黑体" w:hAnsi="黑体" w:eastAsia="黑体" w:cs="宋体"/>
          <w:kern w:val="0"/>
          <w:sz w:val="32"/>
          <w:szCs w:val="32"/>
        </w:rPr>
      </w:pPr>
      <w:r>
        <w:rPr>
          <w:rFonts w:hint="eastAsia" w:ascii="黑体" w:hAnsi="黑体" w:eastAsia="黑体" w:cs="宋体"/>
          <w:kern w:val="0"/>
          <w:sz w:val="32"/>
          <w:szCs w:val="32"/>
        </w:rPr>
        <w:t>第三章  评选标准</w:t>
      </w:r>
    </w:p>
    <w:p>
      <w:pPr>
        <w:widowControl/>
        <w:shd w:val="clear" w:color="auto" w:fill="FFFFFF"/>
        <w:spacing w:line="560" w:lineRule="exact"/>
        <w:ind w:firstLine="601"/>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第十条  </w:t>
      </w:r>
      <w:r>
        <w:rPr>
          <w:rFonts w:hint="eastAsia" w:ascii="华文仿宋" w:hAnsi="华文仿宋" w:eastAsia="华文仿宋" w:cs="宋体"/>
          <w:kern w:val="0"/>
          <w:sz w:val="32"/>
          <w:szCs w:val="32"/>
        </w:rPr>
        <w:t>优秀测绘工程的评选主要从项目的技术、管理、质量、效益和规模等五个方面进行综合评价。其中，技术应体现在技术设计的完整性和规范性，技术路线的科学性和合理性以及生产工艺的先进性等；管理应体现在项目组织结构的合理性和运行的有效性，成本与工期控制及管理的有效性以及安全生产措施的有效性等；质量应体现在项目过程质量控制执行情况，项目成果验收情况、成果质量优良率以及文档编制的规范性和完整性等；效益主要指项目成果产生的社会经济效益以及业主、用户的满意度等；规模是指单一项目完成的成果数量、区域范围及测绘资金总额等。测绘资金规模要求详见表1。</w:t>
      </w:r>
    </w:p>
    <w:p>
      <w:pPr>
        <w:widowControl/>
        <w:shd w:val="clear" w:color="auto" w:fill="FFFFFF"/>
        <w:spacing w:line="520" w:lineRule="exact"/>
        <w:ind w:firstLine="600"/>
        <w:rPr>
          <w:rFonts w:hint="eastAsia" w:ascii="华文仿宋" w:hAnsi="华文仿宋" w:eastAsia="华文仿宋" w:cs="宋体"/>
          <w:b/>
          <w:kern w:val="0"/>
          <w:sz w:val="32"/>
          <w:szCs w:val="32"/>
        </w:rPr>
      </w:pPr>
    </w:p>
    <w:p>
      <w:pPr>
        <w:widowControl/>
        <w:shd w:val="clear" w:color="auto" w:fill="FFFFFF"/>
        <w:jc w:val="center"/>
        <w:rPr>
          <w:rFonts w:ascii="黑体" w:hAnsi="黑体" w:eastAsia="黑体" w:cs="宋体"/>
          <w:bCs/>
          <w:kern w:val="0"/>
          <w:sz w:val="28"/>
          <w:szCs w:val="28"/>
        </w:rPr>
      </w:pPr>
      <w:r>
        <w:rPr>
          <w:rFonts w:hint="eastAsia" w:ascii="黑体" w:hAnsi="黑体" w:eastAsia="黑体" w:cs="宋体"/>
          <w:bCs/>
          <w:kern w:val="0"/>
          <w:sz w:val="28"/>
          <w:szCs w:val="28"/>
        </w:rPr>
        <w:t>表1  申报优秀测绘地理信息工程项目资金规模要求</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1313"/>
        <w:gridCol w:w="1313"/>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7" w:type="dxa"/>
            <w:vMerge w:val="restart"/>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项 目 类 型</w:t>
            </w:r>
          </w:p>
        </w:tc>
        <w:tc>
          <w:tcPr>
            <w:tcW w:w="3940" w:type="dxa"/>
            <w:gridSpan w:val="3"/>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单项工程规模要求（万元）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7" w:type="dxa"/>
            <w:vMerge w:val="continue"/>
            <w:vAlign w:val="center"/>
          </w:tcPr>
          <w:p>
            <w:pPr>
              <w:shd w:val="clear" w:color="auto" w:fill="FFFFFF"/>
              <w:jc w:val="center"/>
              <w:rPr>
                <w:rFonts w:ascii="华文仿宋" w:hAnsi="华文仿宋" w:eastAsia="华文仿宋" w:cs="宋体"/>
                <w:kern w:val="0"/>
                <w:sz w:val="28"/>
                <w:szCs w:val="32"/>
              </w:rPr>
            </w:pP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一等奖</w:t>
            </w: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二等奖</w:t>
            </w:r>
          </w:p>
        </w:tc>
        <w:tc>
          <w:tcPr>
            <w:tcW w:w="1314"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exact"/>
        </w:trPr>
        <w:tc>
          <w:tcPr>
            <w:tcW w:w="4707" w:type="dxa"/>
            <w:vAlign w:val="center"/>
          </w:tcPr>
          <w:p>
            <w:pPr>
              <w:shd w:val="clear" w:color="auto" w:fill="FFFFFF"/>
              <w:spacing w:line="380" w:lineRule="exact"/>
              <w:rPr>
                <w:rFonts w:ascii="华文仿宋" w:hAnsi="华文仿宋" w:eastAsia="华文仿宋" w:cs="宋体"/>
                <w:kern w:val="0"/>
                <w:sz w:val="28"/>
                <w:szCs w:val="32"/>
              </w:rPr>
            </w:pPr>
            <w:r>
              <w:rPr>
                <w:rFonts w:hint="eastAsia" w:ascii="华文仿宋" w:hAnsi="华文仿宋" w:eastAsia="华文仿宋" w:cs="宋体"/>
                <w:kern w:val="0"/>
                <w:sz w:val="28"/>
                <w:szCs w:val="32"/>
              </w:rPr>
              <w:t>大地测量、测绘航空摄影、摄影测量与遥感、地理信息系统工程、工程测量、海洋测绘、</w:t>
            </w:r>
            <w:r>
              <w:rPr>
                <w:rFonts w:hint="eastAsia" w:ascii="华文仿宋" w:hAnsi="华文仿宋" w:eastAsia="华文仿宋"/>
                <w:kern w:val="0"/>
                <w:sz w:val="28"/>
                <w:szCs w:val="32"/>
              </w:rPr>
              <w:t>不动产</w:t>
            </w:r>
            <w:r>
              <w:rPr>
                <w:rFonts w:ascii="华文仿宋" w:hAnsi="华文仿宋" w:eastAsia="华文仿宋"/>
                <w:kern w:val="0"/>
                <w:sz w:val="28"/>
                <w:szCs w:val="32"/>
              </w:rPr>
              <w:t>测绘</w:t>
            </w:r>
            <w:r>
              <w:rPr>
                <w:rFonts w:hint="eastAsia" w:ascii="华文仿宋" w:hAnsi="华文仿宋" w:eastAsia="华文仿宋" w:cs="宋体"/>
                <w:kern w:val="0"/>
                <w:sz w:val="28"/>
                <w:szCs w:val="32"/>
              </w:rPr>
              <w:t>（房产测绘除外)</w:t>
            </w:r>
            <w:r>
              <w:rPr>
                <w:rFonts w:hint="eastAsia" w:ascii="华文仿宋" w:hAnsi="华文仿宋" w:eastAsia="华文仿宋" w:cs="宋体"/>
                <w:kern w:val="0"/>
                <w:sz w:val="28"/>
                <w:szCs w:val="28"/>
              </w:rPr>
              <w:t>、</w:t>
            </w:r>
            <w:r>
              <w:rPr>
                <w:rFonts w:hint="eastAsia" w:ascii="华文仿宋" w:hAnsi="华文仿宋" w:eastAsia="华文仿宋" w:cs="宋体"/>
                <w:kern w:val="0"/>
                <w:sz w:val="28"/>
                <w:szCs w:val="32"/>
              </w:rPr>
              <w:t>导航电子地图制作、互联网地图服务和</w:t>
            </w:r>
            <w:r>
              <w:rPr>
                <w:rFonts w:hint="eastAsia" w:ascii="华文仿宋" w:hAnsi="华文仿宋" w:eastAsia="华文仿宋" w:cs="宋体"/>
                <w:kern w:val="0"/>
                <w:sz w:val="28"/>
                <w:szCs w:val="28"/>
              </w:rPr>
              <w:t>自然资源调查监测等</w:t>
            </w: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≥300</w:t>
            </w: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≥100</w:t>
            </w:r>
          </w:p>
        </w:tc>
        <w:tc>
          <w:tcPr>
            <w:tcW w:w="1314"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7"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房产测绘</w:t>
            </w: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≥100</w:t>
            </w: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≥30</w:t>
            </w:r>
          </w:p>
        </w:tc>
        <w:tc>
          <w:tcPr>
            <w:tcW w:w="1314"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7"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地图编制</w:t>
            </w: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≥50</w:t>
            </w:r>
          </w:p>
        </w:tc>
        <w:tc>
          <w:tcPr>
            <w:tcW w:w="1313"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≥20</w:t>
            </w:r>
          </w:p>
        </w:tc>
        <w:tc>
          <w:tcPr>
            <w:tcW w:w="1314" w:type="dxa"/>
            <w:vAlign w:val="center"/>
          </w:tcPr>
          <w:p>
            <w:pPr>
              <w:shd w:val="clear" w:color="auto" w:fill="FFFFFF"/>
              <w:jc w:val="center"/>
              <w:rPr>
                <w:rFonts w:ascii="华文仿宋" w:hAnsi="华文仿宋" w:eastAsia="华文仿宋" w:cs="宋体"/>
                <w:kern w:val="0"/>
                <w:sz w:val="28"/>
                <w:szCs w:val="32"/>
              </w:rPr>
            </w:pPr>
            <w:r>
              <w:rPr>
                <w:rFonts w:hint="eastAsia" w:ascii="华文仿宋" w:hAnsi="华文仿宋" w:eastAsia="华文仿宋" w:cs="宋体"/>
                <w:kern w:val="0"/>
                <w:sz w:val="28"/>
                <w:szCs w:val="32"/>
              </w:rPr>
              <w:t>≥10</w:t>
            </w:r>
          </w:p>
        </w:tc>
      </w:tr>
    </w:tbl>
    <w:p>
      <w:pPr>
        <w:widowControl/>
        <w:shd w:val="clear" w:color="auto" w:fill="FFFFFF"/>
        <w:spacing w:line="520" w:lineRule="exact"/>
        <w:ind w:firstLine="563"/>
        <w:rPr>
          <w:rFonts w:ascii="华文仿宋" w:hAnsi="华文仿宋" w:eastAsia="华文仿宋" w:cs="宋体"/>
          <w:b/>
          <w:kern w:val="0"/>
          <w:sz w:val="32"/>
          <w:szCs w:val="32"/>
        </w:rPr>
      </w:pP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    第十一条  </w:t>
      </w:r>
      <w:r>
        <w:rPr>
          <w:rFonts w:hint="eastAsia" w:ascii="华文仿宋" w:hAnsi="华文仿宋" w:eastAsia="华文仿宋" w:cs="宋体"/>
          <w:kern w:val="0"/>
          <w:sz w:val="32"/>
          <w:szCs w:val="32"/>
        </w:rPr>
        <w:t>优秀测绘工程的评价体系分为5项指标，各指标及权重设定见附件：优秀测绘地理信息工程评分表。</w:t>
      </w:r>
    </w:p>
    <w:p>
      <w:pPr>
        <w:widowControl/>
        <w:shd w:val="clear" w:color="auto" w:fill="FFFFFF"/>
        <w:spacing w:line="560" w:lineRule="exact"/>
        <w:ind w:firstLine="641" w:firstLineChars="200"/>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第十二条  </w:t>
      </w:r>
      <w:r>
        <w:rPr>
          <w:rFonts w:hint="eastAsia" w:ascii="华文仿宋" w:hAnsi="华文仿宋" w:eastAsia="华文仿宋" w:cs="宋体"/>
          <w:kern w:val="0"/>
          <w:sz w:val="32"/>
          <w:szCs w:val="32"/>
        </w:rPr>
        <w:t>优秀测绘工程评选时按百分制进行评价计分。对每个项目的评价计分，由各评价指标项的分值累计而得。每个评价指标项的分值分为好、较好、中、下四个档次。综合得分达</w:t>
      </w:r>
      <w:r>
        <w:rPr>
          <w:rFonts w:ascii="华文仿宋" w:hAnsi="华文仿宋" w:eastAsia="华文仿宋" w:cs="宋体"/>
          <w:kern w:val="0"/>
          <w:sz w:val="32"/>
          <w:szCs w:val="32"/>
        </w:rPr>
        <w:t>90</w:t>
      </w:r>
      <w:r>
        <w:rPr>
          <w:rFonts w:hint="eastAsia" w:ascii="华文仿宋" w:hAnsi="华文仿宋" w:eastAsia="华文仿宋" w:cs="宋体"/>
          <w:kern w:val="0"/>
          <w:sz w:val="32"/>
          <w:szCs w:val="32"/>
        </w:rPr>
        <w:t>分及以上者可提名一等奖，</w:t>
      </w:r>
      <w:r>
        <w:rPr>
          <w:rFonts w:ascii="华文仿宋" w:hAnsi="华文仿宋" w:eastAsia="华文仿宋" w:cs="宋体"/>
          <w:kern w:val="0"/>
          <w:sz w:val="32"/>
          <w:szCs w:val="32"/>
        </w:rPr>
        <w:t>80</w:t>
      </w:r>
      <w:r>
        <w:rPr>
          <w:rFonts w:hint="eastAsia" w:ascii="华文仿宋" w:hAnsi="华文仿宋" w:eastAsia="华文仿宋" w:cs="宋体"/>
          <w:kern w:val="0"/>
          <w:sz w:val="32"/>
          <w:szCs w:val="32"/>
        </w:rPr>
        <w:t>～90（不含）分可提名二等奖，</w:t>
      </w:r>
      <w:r>
        <w:rPr>
          <w:rFonts w:ascii="华文仿宋" w:hAnsi="华文仿宋" w:eastAsia="华文仿宋" w:cs="宋体"/>
          <w:kern w:val="0"/>
          <w:sz w:val="32"/>
          <w:szCs w:val="32"/>
        </w:rPr>
        <w:t>65</w:t>
      </w:r>
      <w:r>
        <w:rPr>
          <w:rFonts w:hint="eastAsia" w:ascii="华文仿宋" w:hAnsi="华文仿宋" w:eastAsia="华文仿宋" w:cs="宋体"/>
          <w:kern w:val="0"/>
          <w:sz w:val="32"/>
          <w:szCs w:val="32"/>
        </w:rPr>
        <w:t>～80（不含）分可提名三等奖，</w:t>
      </w:r>
      <w:r>
        <w:rPr>
          <w:rFonts w:ascii="华文仿宋" w:hAnsi="华文仿宋" w:eastAsia="华文仿宋" w:cs="宋体"/>
          <w:kern w:val="0"/>
          <w:sz w:val="32"/>
          <w:szCs w:val="32"/>
        </w:rPr>
        <w:t>65</w:t>
      </w:r>
      <w:r>
        <w:rPr>
          <w:rFonts w:hint="eastAsia" w:ascii="华文仿宋" w:hAnsi="华文仿宋" w:eastAsia="华文仿宋" w:cs="宋体"/>
          <w:kern w:val="0"/>
          <w:sz w:val="32"/>
          <w:szCs w:val="32"/>
        </w:rPr>
        <w:t>（不含）分以下不授奖。</w:t>
      </w:r>
    </w:p>
    <w:p>
      <w:pPr>
        <w:widowControl/>
        <w:shd w:val="clear" w:color="auto" w:fill="FFFFFF"/>
        <w:spacing w:before="156" w:beforeLines="50" w:after="156" w:afterLines="50" w:line="520" w:lineRule="exact"/>
        <w:jc w:val="center"/>
        <w:rPr>
          <w:rFonts w:hint="eastAsia" w:ascii="黑体" w:hAnsi="黑体" w:eastAsia="黑体" w:cs="宋体"/>
          <w:kern w:val="0"/>
          <w:sz w:val="32"/>
          <w:szCs w:val="32"/>
        </w:rPr>
      </w:pPr>
    </w:p>
    <w:p>
      <w:pPr>
        <w:widowControl/>
        <w:shd w:val="clear" w:color="auto" w:fill="FFFFFF"/>
        <w:spacing w:before="156" w:beforeLines="50" w:after="156" w:afterLines="50" w:line="520" w:lineRule="exact"/>
        <w:jc w:val="center"/>
        <w:rPr>
          <w:rFonts w:hint="eastAsia" w:ascii="黑体" w:hAnsi="黑体" w:eastAsia="黑体" w:cs="宋体"/>
          <w:kern w:val="0"/>
          <w:sz w:val="32"/>
          <w:szCs w:val="32"/>
        </w:rPr>
      </w:pPr>
    </w:p>
    <w:p>
      <w:pPr>
        <w:widowControl/>
        <w:shd w:val="clear" w:color="auto" w:fill="FFFFFF"/>
        <w:spacing w:before="156" w:beforeLines="50" w:after="156" w:afterLines="50" w:line="520" w:lineRule="exact"/>
        <w:jc w:val="center"/>
        <w:rPr>
          <w:rFonts w:ascii="黑体" w:hAnsi="黑体" w:eastAsia="黑体" w:cs="宋体"/>
          <w:kern w:val="0"/>
          <w:sz w:val="32"/>
          <w:szCs w:val="32"/>
        </w:rPr>
      </w:pPr>
      <w:r>
        <w:rPr>
          <w:rFonts w:hint="eastAsia" w:ascii="黑体" w:hAnsi="黑体" w:eastAsia="黑体" w:cs="宋体"/>
          <w:kern w:val="0"/>
          <w:sz w:val="32"/>
          <w:szCs w:val="32"/>
        </w:rPr>
        <w:t>第四章  申报和评审</w:t>
      </w:r>
    </w:p>
    <w:p>
      <w:pPr>
        <w:widowControl/>
        <w:shd w:val="clear" w:color="auto" w:fill="FFFFFF"/>
        <w:spacing w:before="156" w:beforeLines="50" w:after="156" w:afterLines="50" w:line="560" w:lineRule="exact"/>
        <w:ind w:firstLine="641" w:firstLineChars="200"/>
        <w:jc w:val="distribute"/>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第十三条  </w:t>
      </w:r>
      <w:r>
        <w:rPr>
          <w:rFonts w:hint="eastAsia" w:ascii="华文仿宋" w:hAnsi="华文仿宋" w:eastAsia="华文仿宋" w:cs="宋体"/>
          <w:kern w:val="0"/>
          <w:sz w:val="32"/>
          <w:szCs w:val="32"/>
        </w:rPr>
        <w:t>优秀测绘工程申报项目数量：甲级资质测绘地理信息单位不超过6项；乙级资质以下测绘地理信息单位不超</w:t>
      </w:r>
    </w:p>
    <w:p>
      <w:pPr>
        <w:widowControl/>
        <w:spacing w:line="560" w:lineRule="exact"/>
        <w:rPr>
          <w:rFonts w:ascii="宋体" w:hAnsi="宋体" w:cs="宋体"/>
          <w:b/>
          <w:kern w:val="0"/>
          <w:sz w:val="24"/>
        </w:rPr>
      </w:pPr>
      <w:r>
        <w:rPr>
          <w:rFonts w:hint="eastAsia" w:ascii="华文仿宋" w:hAnsi="华文仿宋" w:eastAsia="华文仿宋" w:cs="宋体"/>
          <w:kern w:val="0"/>
          <w:sz w:val="32"/>
          <w:szCs w:val="32"/>
        </w:rPr>
        <w:t>过3项。</w:t>
      </w:r>
    </w:p>
    <w:p>
      <w:pPr>
        <w:widowControl/>
        <w:spacing w:line="560" w:lineRule="exact"/>
        <w:ind w:firstLine="641" w:firstLineChars="200"/>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第十四条  </w:t>
      </w:r>
      <w:r>
        <w:rPr>
          <w:rFonts w:hint="eastAsia" w:ascii="华文仿宋" w:hAnsi="华文仿宋" w:eastAsia="华文仿宋" w:cs="宋体"/>
          <w:kern w:val="0"/>
          <w:sz w:val="32"/>
          <w:szCs w:val="32"/>
        </w:rPr>
        <w:t>申报单位对每个申报的工程项目应填写</w:t>
      </w:r>
      <w:r>
        <w:rPr>
          <w:rFonts w:hint="eastAsia" w:ascii="仿宋" w:hAnsi="仿宋" w:eastAsia="仿宋" w:cs="宋体"/>
          <w:kern w:val="0"/>
          <w:sz w:val="32"/>
          <w:szCs w:val="32"/>
        </w:rPr>
        <w:t>《</w:t>
      </w:r>
      <w:r>
        <w:rPr>
          <w:rFonts w:hint="eastAsia" w:ascii="华文仿宋" w:hAnsi="华文仿宋" w:eastAsia="华文仿宋" w:cs="宋体"/>
          <w:kern w:val="0"/>
          <w:sz w:val="32"/>
          <w:szCs w:val="32"/>
        </w:rPr>
        <w:t>山东省优秀测绘地理信息工程申报表</w:t>
      </w:r>
      <w:r>
        <w:rPr>
          <w:rFonts w:hint="eastAsia" w:ascii="仿宋" w:hAnsi="仿宋" w:eastAsia="仿宋" w:cs="宋体"/>
          <w:kern w:val="0"/>
          <w:sz w:val="32"/>
          <w:szCs w:val="32"/>
        </w:rPr>
        <w:t>》</w:t>
      </w:r>
      <w:r>
        <w:rPr>
          <w:rFonts w:hint="eastAsia" w:ascii="华文仿宋" w:hAnsi="华文仿宋" w:eastAsia="华文仿宋" w:cs="宋体"/>
          <w:kern w:val="0"/>
          <w:sz w:val="32"/>
          <w:szCs w:val="32"/>
        </w:rPr>
        <w:t>一式两份（单独装订），并</w:t>
      </w:r>
      <w:bookmarkStart w:id="3" w:name="_Hlk69934374"/>
      <w:r>
        <w:rPr>
          <w:rFonts w:hint="eastAsia" w:ascii="华文仿宋" w:hAnsi="华文仿宋" w:eastAsia="华文仿宋" w:cs="宋体"/>
          <w:kern w:val="0"/>
          <w:sz w:val="32"/>
          <w:szCs w:val="32"/>
        </w:rPr>
        <w:t>提交以下装订成册的材料</w:t>
      </w:r>
      <w:bookmarkEnd w:id="3"/>
      <w:r>
        <w:rPr>
          <w:rFonts w:hint="eastAsia" w:ascii="华文仿宋" w:hAnsi="华文仿宋" w:eastAsia="华文仿宋" w:cs="宋体"/>
          <w:kern w:val="0"/>
          <w:sz w:val="32"/>
          <w:szCs w:val="32"/>
        </w:rPr>
        <w:t>（一份）：</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（一）测绘资质证书；</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（二）立项证明（任务书、协议书或合同书）；</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（三）技术设计书；</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（四）技术总结；</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（五）检查报告；</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（六）项目质检报告或验收、鉴定报告；</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（七）用户意见；</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（八）项目成果目录及样品；</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（九）有关主管部门准予涉密测绘地理信息工程报奖的书面意见（原件，适用于涉密项目）；</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（十）地图审查机构审查证明（适用于地图工程项目）。</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以上材料除第九项须提供原件外，其它项可提供原件或复印件。</w:t>
      </w:r>
    </w:p>
    <w:p>
      <w:pPr>
        <w:widowControl/>
        <w:spacing w:line="560" w:lineRule="exact"/>
        <w:ind w:firstLine="641" w:firstLineChars="200"/>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第十五条  </w:t>
      </w:r>
      <w:r>
        <w:rPr>
          <w:rFonts w:hint="eastAsia" w:ascii="华文仿宋" w:hAnsi="华文仿宋" w:eastAsia="华文仿宋" w:cs="宋体"/>
          <w:kern w:val="0"/>
          <w:sz w:val="32"/>
          <w:szCs w:val="32"/>
        </w:rPr>
        <w:t xml:space="preserve">申报单位的申报材料应经所在地的有关主管部门或协会联络处审核确认（盖章）后，向省测绘行业协会秘书处统一报送。    </w:t>
      </w:r>
    </w:p>
    <w:p>
      <w:pPr>
        <w:widowControl/>
        <w:spacing w:line="560" w:lineRule="exact"/>
        <w:ind w:firstLine="641" w:firstLineChars="200"/>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第十六条  </w:t>
      </w:r>
      <w:r>
        <w:rPr>
          <w:rFonts w:hint="eastAsia" w:ascii="华文仿宋" w:hAnsi="华文仿宋" w:eastAsia="华文仿宋" w:cs="宋体"/>
          <w:kern w:val="0"/>
          <w:sz w:val="32"/>
          <w:szCs w:val="32"/>
        </w:rPr>
        <w:t>省测绘行业协会秘书处负责审核受理申报材料，并将符合受理条件的材料提交优秀测绘工程评选委员会。</w:t>
      </w:r>
    </w:p>
    <w:p>
      <w:pPr>
        <w:widowControl/>
        <w:spacing w:line="560" w:lineRule="exact"/>
        <w:ind w:firstLine="641" w:firstLineChars="200"/>
        <w:rPr>
          <w:rFonts w:hint="eastAsia" w:ascii="华文仿宋" w:hAnsi="华文仿宋" w:eastAsia="华文仿宋" w:cs="宋体"/>
          <w:kern w:val="0"/>
          <w:sz w:val="32"/>
          <w:szCs w:val="32"/>
        </w:rPr>
      </w:pPr>
      <w:r>
        <w:rPr>
          <w:rFonts w:hint="eastAsia" w:ascii="华文仿宋" w:hAnsi="华文仿宋" w:eastAsia="华文仿宋" w:cs="宋体"/>
          <w:b/>
          <w:kern w:val="0"/>
          <w:sz w:val="32"/>
          <w:szCs w:val="32"/>
        </w:rPr>
        <w:t>第十七条</w:t>
      </w:r>
      <w:r>
        <w:rPr>
          <w:rFonts w:hint="eastAsia" w:ascii="华文仿宋" w:hAnsi="华文仿宋" w:eastAsia="华文仿宋" w:cs="宋体"/>
          <w:kern w:val="0"/>
          <w:sz w:val="32"/>
          <w:szCs w:val="32"/>
        </w:rPr>
        <w:t xml:space="preserve">  优秀测绘工程评选委员会根据项目所达到的技术先进性、管理科学性、质量水平、工程效益及规模等进行综合</w:t>
      </w:r>
    </w:p>
    <w:p>
      <w:pPr>
        <w:widowControl/>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评审，评选确定获奖项目和获奖等级。</w:t>
      </w:r>
    </w:p>
    <w:p>
      <w:pPr>
        <w:widowControl/>
        <w:shd w:val="clear" w:color="auto" w:fill="FFFFFF"/>
        <w:spacing w:before="156" w:beforeLines="50" w:after="156" w:afterLines="50" w:line="520" w:lineRule="exact"/>
        <w:jc w:val="center"/>
        <w:rPr>
          <w:rFonts w:ascii="黑体" w:hAnsi="黑体" w:eastAsia="黑体" w:cs="宋体"/>
          <w:kern w:val="0"/>
          <w:sz w:val="32"/>
          <w:szCs w:val="32"/>
        </w:rPr>
      </w:pPr>
      <w:r>
        <w:rPr>
          <w:rFonts w:hint="eastAsia" w:ascii="黑体" w:hAnsi="黑体" w:eastAsia="黑体" w:cs="宋体"/>
          <w:kern w:val="0"/>
          <w:sz w:val="32"/>
          <w:szCs w:val="32"/>
        </w:rPr>
        <w:t>第五章  公告和异议</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 xml:space="preserve">第十八条  </w:t>
      </w:r>
      <w:r>
        <w:rPr>
          <w:rFonts w:hint="eastAsia" w:ascii="华文仿宋" w:hAnsi="华文仿宋" w:eastAsia="华文仿宋" w:cs="宋体"/>
          <w:kern w:val="0"/>
          <w:sz w:val="32"/>
          <w:szCs w:val="32"/>
        </w:rPr>
        <w:t>优秀测绘工程评选结果由省测绘行业协会予以公告，公告期为10个工作日。公告期内如有异议，以书面形式向省测绘行业协会提出。</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第十九条</w:t>
      </w:r>
      <w:r>
        <w:rPr>
          <w:rFonts w:hint="eastAsia" w:ascii="华文仿宋" w:hAnsi="华文仿宋" w:eastAsia="华文仿宋" w:cs="宋体"/>
          <w:kern w:val="0"/>
          <w:sz w:val="32"/>
          <w:szCs w:val="32"/>
        </w:rPr>
        <w:t xml:space="preserve">  提出异议的单位、个人应当表明真实身份。个人提出异议的，应当在异议材料上签署真实姓名及联系方式。以单位名义提出异议的，应当加盖单位公章。</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 xml:space="preserve">第二十条  </w:t>
      </w:r>
      <w:r>
        <w:rPr>
          <w:rFonts w:hint="eastAsia" w:ascii="华文仿宋" w:hAnsi="华文仿宋" w:eastAsia="华文仿宋" w:cs="宋体"/>
          <w:kern w:val="0"/>
          <w:sz w:val="32"/>
          <w:szCs w:val="32"/>
        </w:rPr>
        <w:t>省测绘行业协会在接到异议材料后，对异议内容进行审查、核实，并在15个工作日内作出处理决定。　　</w:t>
      </w:r>
    </w:p>
    <w:p>
      <w:pPr>
        <w:widowControl/>
        <w:shd w:val="clear" w:color="auto" w:fill="FFFFFF"/>
        <w:spacing w:before="156" w:beforeLines="50" w:after="156" w:afterLines="50" w:line="520" w:lineRule="exact"/>
        <w:jc w:val="center"/>
        <w:rPr>
          <w:rFonts w:ascii="黑体" w:hAnsi="黑体" w:eastAsia="黑体" w:cs="宋体"/>
          <w:kern w:val="0"/>
          <w:sz w:val="32"/>
          <w:szCs w:val="32"/>
        </w:rPr>
      </w:pPr>
      <w:r>
        <w:rPr>
          <w:rFonts w:hint="eastAsia" w:ascii="黑体" w:hAnsi="黑体" w:eastAsia="黑体" w:cs="宋体"/>
          <w:kern w:val="0"/>
          <w:sz w:val="32"/>
          <w:szCs w:val="32"/>
        </w:rPr>
        <w:t>第六章  奖 惩</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第二十一条</w:t>
      </w:r>
      <w:r>
        <w:rPr>
          <w:rFonts w:hint="eastAsia" w:ascii="华文仿宋" w:hAnsi="华文仿宋" w:eastAsia="华文仿宋" w:cs="宋体"/>
          <w:kern w:val="0"/>
          <w:sz w:val="32"/>
          <w:szCs w:val="32"/>
        </w:rPr>
        <w:t xml:space="preserve">  荣获优秀测绘工程的，由省测绘行业协会向获奖单位和主要完成人员颁发获奖证书。</w:t>
      </w:r>
    </w:p>
    <w:p>
      <w:pPr>
        <w:widowControl/>
        <w:shd w:val="clear" w:color="auto" w:fill="FFFFFF"/>
        <w:spacing w:line="560" w:lineRule="exact"/>
        <w:ind w:firstLine="600"/>
        <w:rPr>
          <w:rFonts w:ascii="华文仿宋" w:hAnsi="华文仿宋" w:eastAsia="华文仿宋" w:cs="宋体"/>
          <w:kern w:val="0"/>
          <w:sz w:val="32"/>
          <w:szCs w:val="32"/>
        </w:rPr>
      </w:pPr>
      <w:r>
        <w:rPr>
          <w:rFonts w:hint="eastAsia" w:ascii="华文仿宋" w:hAnsi="华文仿宋" w:eastAsia="华文仿宋" w:cs="宋体"/>
          <w:b/>
          <w:kern w:val="0"/>
          <w:sz w:val="32"/>
          <w:szCs w:val="32"/>
        </w:rPr>
        <w:t>第二十二条</w:t>
      </w:r>
      <w:r>
        <w:rPr>
          <w:rFonts w:hint="eastAsia" w:ascii="华文仿宋" w:hAnsi="华文仿宋" w:eastAsia="华文仿宋" w:cs="宋体"/>
          <w:kern w:val="0"/>
          <w:sz w:val="32"/>
          <w:szCs w:val="32"/>
        </w:rPr>
        <w:t xml:space="preserve">  获奖项目择优向全国行业组织推荐，参加国家级优秀项目评选。</w:t>
      </w:r>
    </w:p>
    <w:p>
      <w:pPr>
        <w:widowControl/>
        <w:shd w:val="clear" w:color="auto" w:fill="FFFFFF"/>
        <w:spacing w:line="560" w:lineRule="exact"/>
        <w:ind w:firstLine="600"/>
        <w:rPr>
          <w:rFonts w:ascii="华文仿宋" w:hAnsi="华文仿宋" w:eastAsia="华文仿宋" w:cs="宋体"/>
          <w:kern w:val="0"/>
          <w:sz w:val="32"/>
          <w:szCs w:val="32"/>
        </w:rPr>
      </w:pPr>
      <w:r>
        <w:rPr>
          <w:rFonts w:hint="eastAsia" w:ascii="华文仿宋" w:hAnsi="华文仿宋" w:eastAsia="华文仿宋" w:cs="宋体"/>
          <w:b/>
          <w:kern w:val="0"/>
          <w:sz w:val="32"/>
          <w:szCs w:val="32"/>
        </w:rPr>
        <w:t xml:space="preserve">第二十三条  </w:t>
      </w:r>
      <w:r>
        <w:rPr>
          <w:rFonts w:hint="eastAsia" w:ascii="华文仿宋" w:hAnsi="华文仿宋" w:eastAsia="华文仿宋" w:cs="宋体"/>
          <w:kern w:val="0"/>
          <w:sz w:val="32"/>
          <w:szCs w:val="32"/>
        </w:rPr>
        <w:t>申报单位对其申报项目的真实性和知识产权负责，有弄虚作假、徇私舞弊行为者取消评选资格，收回获奖证书，在山东省测绘地理信息行业内进行通报批评，并向山东省测绘地理信息行政主管部门报告，记入单位诚信档案，且三年内禁止参加优秀测绘工程的评选。</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 xml:space="preserve">第二十四条 </w:t>
      </w:r>
      <w:r>
        <w:rPr>
          <w:rFonts w:hint="eastAsia" w:ascii="华文仿宋" w:hAnsi="华文仿宋" w:eastAsia="华文仿宋" w:cs="宋体"/>
          <w:kern w:val="0"/>
          <w:sz w:val="32"/>
          <w:szCs w:val="32"/>
        </w:rPr>
        <w:t>参加优秀测绘工程评选工作的人员（包括评委及工作人员）必须坚持原则、忠于职守、秉公办事、严守纪律，对违纪者通报其任职单位，影响评选结果公正的应重新组织评选。</w:t>
      </w:r>
    </w:p>
    <w:p>
      <w:pPr>
        <w:widowControl/>
        <w:shd w:val="clear" w:color="auto" w:fill="FFFFFF"/>
        <w:spacing w:before="156" w:beforeLines="50" w:after="156" w:afterLines="50" w:line="520" w:lineRule="exact"/>
        <w:jc w:val="center"/>
        <w:rPr>
          <w:rFonts w:ascii="黑体" w:hAnsi="黑体" w:eastAsia="黑体" w:cs="宋体"/>
          <w:kern w:val="0"/>
          <w:sz w:val="32"/>
          <w:szCs w:val="32"/>
        </w:rPr>
      </w:pPr>
      <w:r>
        <w:rPr>
          <w:rFonts w:hint="eastAsia" w:ascii="黑体" w:hAnsi="黑体" w:eastAsia="黑体" w:cs="宋体"/>
          <w:kern w:val="0"/>
          <w:sz w:val="32"/>
          <w:szCs w:val="32"/>
        </w:rPr>
        <w:t>第七章  附 则</w:t>
      </w:r>
    </w:p>
    <w:p>
      <w:pPr>
        <w:widowControl/>
        <w:shd w:val="clear" w:color="auto" w:fill="FFFFFF"/>
        <w:spacing w:line="560" w:lineRule="exact"/>
        <w:rPr>
          <w:rFonts w:ascii="华文仿宋" w:hAnsi="华文仿宋" w:eastAsia="华文仿宋" w:cs="宋体"/>
          <w:kern w:val="0"/>
          <w:sz w:val="32"/>
          <w:szCs w:val="32"/>
        </w:r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 xml:space="preserve">第二十五条  </w:t>
      </w:r>
      <w:r>
        <w:rPr>
          <w:rFonts w:hint="eastAsia" w:ascii="华文仿宋" w:hAnsi="华文仿宋" w:eastAsia="华文仿宋" w:cs="宋体"/>
          <w:kern w:val="0"/>
          <w:sz w:val="32"/>
          <w:szCs w:val="32"/>
        </w:rPr>
        <w:t>本办法由省测绘行业协会负责解释。</w:t>
      </w:r>
    </w:p>
    <w:p>
      <w:pPr>
        <w:widowControl/>
        <w:shd w:val="clear" w:color="auto" w:fill="FFFFFF"/>
        <w:spacing w:line="560" w:lineRule="exact"/>
        <w:rPr>
          <w:rFonts w:ascii="华文仿宋" w:hAnsi="华文仿宋" w:eastAsia="华文仿宋" w:cs="宋体"/>
          <w:kern w:val="0"/>
          <w:sz w:val="32"/>
          <w:szCs w:val="32"/>
        </w:rPr>
        <w:sectPr>
          <w:footerReference r:id="rId3" w:type="default"/>
          <w:footerReference r:id="rId4" w:type="even"/>
          <w:pgSz w:w="11906" w:h="16838"/>
          <w:pgMar w:top="1474" w:right="1588" w:bottom="1247" w:left="1588" w:header="851" w:footer="851" w:gutter="0"/>
          <w:cols w:space="720" w:num="1"/>
          <w:docGrid w:type="lines" w:linePitch="312" w:charSpace="0"/>
        </w:sectPr>
      </w:pPr>
      <w:r>
        <w:rPr>
          <w:rFonts w:hint="eastAsia" w:ascii="华文仿宋" w:hAnsi="华文仿宋" w:eastAsia="华文仿宋" w:cs="宋体"/>
          <w:kern w:val="0"/>
          <w:sz w:val="32"/>
          <w:szCs w:val="32"/>
        </w:rPr>
        <w:t>　　</w:t>
      </w:r>
      <w:r>
        <w:rPr>
          <w:rFonts w:hint="eastAsia" w:ascii="华文仿宋" w:hAnsi="华文仿宋" w:eastAsia="华文仿宋" w:cs="宋体"/>
          <w:b/>
          <w:kern w:val="0"/>
          <w:sz w:val="32"/>
          <w:szCs w:val="32"/>
        </w:rPr>
        <w:t xml:space="preserve">第二十六条  </w:t>
      </w:r>
      <w:r>
        <w:rPr>
          <w:rFonts w:hint="eastAsia" w:ascii="华文仿宋" w:hAnsi="华文仿宋" w:eastAsia="华文仿宋" w:cs="宋体"/>
          <w:kern w:val="0"/>
          <w:sz w:val="32"/>
          <w:szCs w:val="32"/>
        </w:rPr>
        <w:t>本办法自2021年</w:t>
      </w:r>
      <w:r>
        <w:rPr>
          <w:rFonts w:hint="eastAsia" w:ascii="华文仿宋" w:hAnsi="华文仿宋" w:eastAsia="华文仿宋" w:cs="宋体"/>
          <w:kern w:val="0"/>
          <w:sz w:val="32"/>
          <w:szCs w:val="32"/>
          <w:lang w:val="en-US" w:eastAsia="zh-CN"/>
        </w:rPr>
        <w:t xml:space="preserve"> 7 月 9</w:t>
      </w:r>
      <w:bookmarkStart w:id="4" w:name="_GoBack"/>
      <w:bookmarkEnd w:id="4"/>
      <w:r>
        <w:rPr>
          <w:rFonts w:hint="eastAsia" w:ascii="华文仿宋" w:hAnsi="华文仿宋" w:eastAsia="华文仿宋" w:cs="宋体"/>
          <w:kern w:val="0"/>
          <w:sz w:val="32"/>
          <w:szCs w:val="32"/>
          <w:lang w:val="en-US" w:eastAsia="zh-CN"/>
        </w:rPr>
        <w:t xml:space="preserve"> 日</w:t>
      </w:r>
      <w:r>
        <w:rPr>
          <w:rFonts w:hint="eastAsia" w:ascii="华文仿宋" w:hAnsi="华文仿宋" w:eastAsia="华文仿宋" w:cs="宋体"/>
          <w:kern w:val="0"/>
          <w:sz w:val="32"/>
          <w:szCs w:val="32"/>
        </w:rPr>
        <w:t>起施行，原评选办法同时废止。</w:t>
      </w:r>
    </w:p>
    <w:p>
      <w:pPr>
        <w:spacing w:line="400" w:lineRule="exact"/>
        <w:rPr>
          <w:rFonts w:ascii="华文仿宋" w:hAnsi="华文仿宋" w:eastAsia="华文仿宋"/>
          <w:b/>
          <w:sz w:val="24"/>
        </w:rPr>
      </w:pPr>
    </w:p>
    <w:p>
      <w:pPr>
        <w:rPr>
          <w:rFonts w:ascii="宋体" w:hAnsi="宋体"/>
          <w:b/>
          <w:sz w:val="32"/>
          <w:szCs w:val="32"/>
        </w:rPr>
      </w:pPr>
      <w:r>
        <w:rPr>
          <w:rFonts w:hint="eastAsia" w:ascii="华文仿宋" w:hAnsi="华文仿宋" w:eastAsia="华文仿宋"/>
          <w:b/>
          <w:sz w:val="28"/>
          <w:szCs w:val="28"/>
        </w:rPr>
        <w:t>附件：</w:t>
      </w:r>
      <w:r>
        <w:rPr>
          <w:rFonts w:hint="eastAsia" w:ascii="华文仿宋" w:hAnsi="华文仿宋" w:eastAsia="华文仿宋"/>
          <w:sz w:val="32"/>
          <w:szCs w:val="32"/>
        </w:rPr>
        <w:t xml:space="preserve">       </w:t>
      </w:r>
      <w:r>
        <w:rPr>
          <w:rFonts w:hint="eastAsia" w:ascii="宋体" w:hAnsi="宋体"/>
          <w:b/>
          <w:sz w:val="32"/>
          <w:szCs w:val="32"/>
        </w:rPr>
        <w:t>优秀测绘地理信息工程评分表</w:t>
      </w:r>
    </w:p>
    <w:tbl>
      <w:tblPr>
        <w:tblStyle w:val="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382"/>
        <w:gridCol w:w="22"/>
        <w:gridCol w:w="1299"/>
        <w:gridCol w:w="973"/>
        <w:gridCol w:w="973"/>
        <w:gridCol w:w="973"/>
        <w:gridCol w:w="97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dxa"/>
            <w:vAlign w:val="center"/>
          </w:tcPr>
          <w:p>
            <w:pPr>
              <w:jc w:val="center"/>
              <w:rPr>
                <w:b/>
                <w:szCs w:val="21"/>
              </w:rPr>
            </w:pPr>
            <w:r>
              <w:rPr>
                <w:rFonts w:hint="eastAsia"/>
                <w:b/>
                <w:szCs w:val="21"/>
              </w:rPr>
              <w:t>项目编号</w:t>
            </w:r>
          </w:p>
        </w:tc>
        <w:tc>
          <w:tcPr>
            <w:tcW w:w="1382" w:type="dxa"/>
            <w:vAlign w:val="center"/>
          </w:tcPr>
          <w:p>
            <w:pPr>
              <w:jc w:val="center"/>
              <w:rPr>
                <w:b/>
                <w:szCs w:val="21"/>
              </w:rPr>
            </w:pPr>
          </w:p>
        </w:tc>
        <w:tc>
          <w:tcPr>
            <w:tcW w:w="1321" w:type="dxa"/>
            <w:gridSpan w:val="2"/>
            <w:vAlign w:val="center"/>
          </w:tcPr>
          <w:p>
            <w:pPr>
              <w:jc w:val="center"/>
              <w:rPr>
                <w:b/>
                <w:szCs w:val="21"/>
              </w:rPr>
            </w:pPr>
            <w:r>
              <w:rPr>
                <w:rFonts w:hint="eastAsia"/>
                <w:b/>
                <w:szCs w:val="21"/>
              </w:rPr>
              <w:t>项目类别</w:t>
            </w:r>
          </w:p>
        </w:tc>
        <w:tc>
          <w:tcPr>
            <w:tcW w:w="4865" w:type="dxa"/>
            <w:gridSpan w:val="5"/>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dxa"/>
            <w:vAlign w:val="center"/>
          </w:tcPr>
          <w:p>
            <w:pPr>
              <w:jc w:val="center"/>
              <w:rPr>
                <w:b/>
                <w:szCs w:val="21"/>
              </w:rPr>
            </w:pPr>
            <w:r>
              <w:rPr>
                <w:rFonts w:hint="eastAsia"/>
                <w:b/>
                <w:szCs w:val="21"/>
              </w:rPr>
              <w:t>项目名称</w:t>
            </w:r>
          </w:p>
        </w:tc>
        <w:tc>
          <w:tcPr>
            <w:tcW w:w="7568" w:type="dxa"/>
            <w:gridSpan w:val="8"/>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3"/>
            <w:vMerge w:val="restart"/>
            <w:vAlign w:val="center"/>
          </w:tcPr>
          <w:p>
            <w:pPr>
              <w:jc w:val="center"/>
              <w:rPr>
                <w:b/>
                <w:szCs w:val="21"/>
              </w:rPr>
            </w:pPr>
            <w:r>
              <w:rPr>
                <w:rFonts w:hint="eastAsia"/>
                <w:b/>
                <w:szCs w:val="21"/>
              </w:rPr>
              <w:t>评 价 项</w:t>
            </w:r>
          </w:p>
        </w:tc>
        <w:tc>
          <w:tcPr>
            <w:tcW w:w="1299" w:type="dxa"/>
            <w:vMerge w:val="restart"/>
            <w:vAlign w:val="center"/>
          </w:tcPr>
          <w:p>
            <w:pPr>
              <w:jc w:val="center"/>
              <w:rPr>
                <w:b/>
                <w:szCs w:val="21"/>
              </w:rPr>
            </w:pPr>
            <w:r>
              <w:rPr>
                <w:rFonts w:hint="eastAsia"/>
                <w:b/>
                <w:szCs w:val="21"/>
              </w:rPr>
              <w:t>权值</w:t>
            </w:r>
            <w:r>
              <w:rPr>
                <w:rFonts w:hint="eastAsia"/>
                <w:b/>
                <w:sz w:val="18"/>
                <w:szCs w:val="18"/>
              </w:rPr>
              <w:t>（</w:t>
            </w:r>
            <w:r>
              <w:rPr>
                <w:b/>
                <w:sz w:val="18"/>
                <w:szCs w:val="18"/>
              </w:rPr>
              <w:t>%</w:t>
            </w:r>
            <w:r>
              <w:rPr>
                <w:rFonts w:hint="eastAsia"/>
                <w:b/>
                <w:sz w:val="18"/>
                <w:szCs w:val="18"/>
              </w:rPr>
              <w:t>）</w:t>
            </w:r>
          </w:p>
        </w:tc>
        <w:tc>
          <w:tcPr>
            <w:tcW w:w="4865" w:type="dxa"/>
            <w:gridSpan w:val="5"/>
          </w:tcPr>
          <w:p>
            <w:pPr>
              <w:jc w:val="center"/>
              <w:rPr>
                <w:b/>
                <w:szCs w:val="21"/>
              </w:rPr>
            </w:pPr>
            <w:r>
              <w:rPr>
                <w:rFonts w:hint="eastAsia"/>
                <w:b/>
                <w:szCs w:val="21"/>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3"/>
            <w:vMerge w:val="continue"/>
          </w:tcPr>
          <w:p>
            <w:pPr>
              <w:rPr>
                <w:szCs w:val="21"/>
              </w:rPr>
            </w:pPr>
          </w:p>
        </w:tc>
        <w:tc>
          <w:tcPr>
            <w:tcW w:w="1299" w:type="dxa"/>
            <w:vMerge w:val="continue"/>
          </w:tcPr>
          <w:p>
            <w:pPr>
              <w:rPr>
                <w:szCs w:val="21"/>
              </w:rPr>
            </w:pPr>
          </w:p>
        </w:tc>
        <w:tc>
          <w:tcPr>
            <w:tcW w:w="973" w:type="dxa"/>
          </w:tcPr>
          <w:p>
            <w:pPr>
              <w:adjustRightInd w:val="0"/>
              <w:snapToGrid w:val="0"/>
              <w:spacing w:line="280" w:lineRule="exact"/>
              <w:jc w:val="center"/>
              <w:rPr>
                <w:rFonts w:ascii="宋体" w:hAnsi="宋体"/>
                <w:sz w:val="18"/>
                <w:szCs w:val="18"/>
              </w:rPr>
            </w:pPr>
            <w:r>
              <w:rPr>
                <w:rFonts w:hint="eastAsia" w:ascii="宋体" w:hAnsi="宋体"/>
                <w:sz w:val="18"/>
                <w:szCs w:val="18"/>
              </w:rPr>
              <w:t>好</w:t>
            </w:r>
          </w:p>
          <w:p>
            <w:pPr>
              <w:adjustRightInd w:val="0"/>
              <w:snapToGrid w:val="0"/>
              <w:spacing w:line="280" w:lineRule="exact"/>
              <w:ind w:left="139" w:right="-75" w:rightChars="-36" w:hanging="138" w:hangingChars="77"/>
              <w:jc w:val="center"/>
              <w:rPr>
                <w:rFonts w:ascii="宋体" w:hAnsi="宋体"/>
                <w:sz w:val="18"/>
                <w:szCs w:val="18"/>
              </w:rPr>
            </w:pPr>
            <w:r>
              <w:rPr>
                <w:rFonts w:ascii="宋体" w:hAnsi="宋体"/>
                <w:sz w:val="18"/>
                <w:szCs w:val="18"/>
              </w:rPr>
              <w:t>90</w:t>
            </w:r>
            <w:r>
              <w:rPr>
                <w:rFonts w:hint="eastAsia" w:ascii="宋体" w:hAnsi="宋体"/>
                <w:sz w:val="18"/>
                <w:szCs w:val="18"/>
              </w:rPr>
              <w:t>～</w:t>
            </w:r>
            <w:r>
              <w:rPr>
                <w:rFonts w:ascii="宋体" w:hAnsi="宋体"/>
                <w:sz w:val="18"/>
                <w:szCs w:val="18"/>
              </w:rPr>
              <w:t>100%</w:t>
            </w:r>
          </w:p>
        </w:tc>
        <w:tc>
          <w:tcPr>
            <w:tcW w:w="973" w:type="dxa"/>
          </w:tcPr>
          <w:p>
            <w:pPr>
              <w:adjustRightInd w:val="0"/>
              <w:snapToGrid w:val="0"/>
              <w:spacing w:line="280" w:lineRule="exact"/>
              <w:jc w:val="center"/>
              <w:rPr>
                <w:rFonts w:ascii="宋体" w:hAnsi="宋体"/>
                <w:sz w:val="18"/>
                <w:szCs w:val="18"/>
              </w:rPr>
            </w:pPr>
            <w:r>
              <w:rPr>
                <w:rFonts w:hint="eastAsia" w:ascii="宋体" w:hAnsi="宋体"/>
                <w:sz w:val="18"/>
                <w:szCs w:val="18"/>
              </w:rPr>
              <w:t>较好</w:t>
            </w:r>
          </w:p>
          <w:p>
            <w:pPr>
              <w:adjustRightInd w:val="0"/>
              <w:snapToGrid w:val="0"/>
              <w:spacing w:line="280" w:lineRule="exact"/>
              <w:jc w:val="center"/>
              <w:rPr>
                <w:rFonts w:ascii="宋体" w:hAnsi="宋体"/>
                <w:sz w:val="18"/>
                <w:szCs w:val="18"/>
              </w:rPr>
            </w:pPr>
            <w:r>
              <w:rPr>
                <w:rFonts w:ascii="宋体" w:hAnsi="宋体"/>
                <w:sz w:val="18"/>
                <w:szCs w:val="18"/>
              </w:rPr>
              <w:t>80</w:t>
            </w:r>
            <w:r>
              <w:rPr>
                <w:rFonts w:hint="eastAsia" w:ascii="宋体" w:hAnsi="宋体"/>
                <w:sz w:val="18"/>
                <w:szCs w:val="18"/>
              </w:rPr>
              <w:t>～90%</w:t>
            </w:r>
          </w:p>
        </w:tc>
        <w:tc>
          <w:tcPr>
            <w:tcW w:w="973" w:type="dxa"/>
          </w:tcPr>
          <w:p>
            <w:pPr>
              <w:adjustRightInd w:val="0"/>
              <w:snapToGrid w:val="0"/>
              <w:spacing w:line="280" w:lineRule="exact"/>
              <w:jc w:val="center"/>
              <w:rPr>
                <w:rFonts w:ascii="宋体" w:hAnsi="宋体"/>
                <w:sz w:val="18"/>
                <w:szCs w:val="18"/>
              </w:rPr>
            </w:pPr>
            <w:r>
              <w:rPr>
                <w:rFonts w:hint="eastAsia" w:ascii="宋体" w:hAnsi="宋体"/>
                <w:sz w:val="18"/>
                <w:szCs w:val="18"/>
              </w:rPr>
              <w:t>中</w:t>
            </w:r>
          </w:p>
          <w:p>
            <w:pPr>
              <w:adjustRightInd w:val="0"/>
              <w:snapToGrid w:val="0"/>
              <w:spacing w:line="280" w:lineRule="exact"/>
              <w:jc w:val="center"/>
              <w:rPr>
                <w:rFonts w:ascii="宋体" w:hAnsi="宋体"/>
                <w:sz w:val="18"/>
                <w:szCs w:val="18"/>
              </w:rPr>
            </w:pPr>
            <w:r>
              <w:rPr>
                <w:rFonts w:ascii="宋体" w:hAnsi="宋体"/>
                <w:sz w:val="18"/>
                <w:szCs w:val="18"/>
              </w:rPr>
              <w:t>65</w:t>
            </w:r>
            <w:r>
              <w:rPr>
                <w:rFonts w:hint="eastAsia" w:ascii="宋体" w:hAnsi="宋体"/>
                <w:sz w:val="18"/>
                <w:szCs w:val="18"/>
              </w:rPr>
              <w:t>～80%</w:t>
            </w:r>
          </w:p>
        </w:tc>
        <w:tc>
          <w:tcPr>
            <w:tcW w:w="973" w:type="dxa"/>
          </w:tcPr>
          <w:p>
            <w:pPr>
              <w:adjustRightInd w:val="0"/>
              <w:snapToGrid w:val="0"/>
              <w:spacing w:line="280" w:lineRule="exact"/>
              <w:jc w:val="center"/>
              <w:rPr>
                <w:rFonts w:ascii="宋体" w:hAnsi="宋体"/>
                <w:sz w:val="18"/>
                <w:szCs w:val="18"/>
              </w:rPr>
            </w:pPr>
            <w:r>
              <w:rPr>
                <w:rFonts w:hint="eastAsia" w:ascii="宋体" w:hAnsi="宋体"/>
                <w:sz w:val="18"/>
                <w:szCs w:val="18"/>
              </w:rPr>
              <w:t>下</w:t>
            </w:r>
          </w:p>
          <w:p>
            <w:pPr>
              <w:adjustRightInd w:val="0"/>
              <w:snapToGrid w:val="0"/>
              <w:spacing w:line="280" w:lineRule="exact"/>
              <w:jc w:val="center"/>
              <w:rPr>
                <w:rFonts w:ascii="宋体" w:hAnsi="宋体"/>
                <w:sz w:val="18"/>
                <w:szCs w:val="18"/>
              </w:rPr>
            </w:pPr>
            <w:r>
              <w:rPr>
                <w:rFonts w:ascii="宋体" w:hAnsi="宋体"/>
                <w:sz w:val="18"/>
                <w:szCs w:val="18"/>
              </w:rPr>
              <w:t>65%</w:t>
            </w:r>
            <w:r>
              <w:rPr>
                <w:rFonts w:hint="eastAsia" w:ascii="宋体" w:hAnsi="宋体"/>
                <w:sz w:val="18"/>
                <w:szCs w:val="18"/>
              </w:rPr>
              <w:t>以下</w:t>
            </w:r>
          </w:p>
        </w:tc>
        <w:tc>
          <w:tcPr>
            <w:tcW w:w="973" w:type="dxa"/>
            <w:vAlign w:val="center"/>
          </w:tcPr>
          <w:p>
            <w:pPr>
              <w:jc w:val="center"/>
              <w:rPr>
                <w:rFonts w:ascii="宋体" w:hAnsi="宋体"/>
                <w:szCs w:val="21"/>
              </w:rPr>
            </w:pPr>
            <w:r>
              <w:rPr>
                <w:rFonts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gridSpan w:val="3"/>
            <w:vAlign w:val="center"/>
          </w:tcPr>
          <w:p>
            <w:pPr>
              <w:jc w:val="center"/>
              <w:rPr>
                <w:b/>
                <w:bCs/>
                <w:szCs w:val="21"/>
              </w:rPr>
            </w:pPr>
            <w:r>
              <w:rPr>
                <w:rFonts w:hint="eastAsia"/>
                <w:b/>
                <w:bCs/>
                <w:szCs w:val="21"/>
              </w:rPr>
              <w:t>一、技术先进性</w:t>
            </w:r>
          </w:p>
        </w:tc>
        <w:tc>
          <w:tcPr>
            <w:tcW w:w="1299" w:type="dxa"/>
            <w:vAlign w:val="center"/>
          </w:tcPr>
          <w:p>
            <w:pPr>
              <w:jc w:val="center"/>
              <w:rPr>
                <w:rFonts w:ascii="宋体" w:hAnsi="宋体"/>
                <w:b/>
                <w:szCs w:val="21"/>
              </w:rPr>
            </w:pPr>
            <w:r>
              <w:rPr>
                <w:rFonts w:ascii="宋体" w:hAnsi="宋体"/>
                <w:b/>
                <w:szCs w:val="21"/>
              </w:rPr>
              <w:t>20</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210" w:firstLineChars="100"/>
              <w:jc w:val="left"/>
              <w:rPr>
                <w:rFonts w:ascii="宋体" w:hAnsi="宋体"/>
                <w:szCs w:val="21"/>
              </w:rPr>
            </w:pPr>
            <w:r>
              <w:rPr>
                <w:rFonts w:ascii="宋体" w:hAnsi="宋体"/>
                <w:szCs w:val="21"/>
              </w:rPr>
              <w:t>1</w:t>
            </w:r>
            <w:r>
              <w:rPr>
                <w:rFonts w:hint="eastAsia" w:ascii="宋体" w:hAnsi="宋体"/>
                <w:szCs w:val="21"/>
              </w:rPr>
              <w:t>.技术设计</w:t>
            </w:r>
          </w:p>
        </w:tc>
        <w:tc>
          <w:tcPr>
            <w:tcW w:w="1299" w:type="dxa"/>
            <w:vAlign w:val="center"/>
          </w:tcPr>
          <w:p>
            <w:pPr>
              <w:jc w:val="center"/>
              <w:rPr>
                <w:rFonts w:ascii="宋体" w:hAnsi="宋体"/>
                <w:szCs w:val="21"/>
              </w:rPr>
            </w:pPr>
            <w:r>
              <w:rPr>
                <w:rFonts w:ascii="宋体" w:hAnsi="宋体"/>
                <w:szCs w:val="21"/>
              </w:rPr>
              <w:t>8</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210" w:firstLineChars="100"/>
              <w:jc w:val="left"/>
              <w:rPr>
                <w:rFonts w:ascii="宋体" w:hAnsi="宋体"/>
                <w:szCs w:val="21"/>
              </w:rPr>
            </w:pPr>
            <w:r>
              <w:rPr>
                <w:rFonts w:ascii="宋体" w:hAnsi="宋体"/>
                <w:szCs w:val="21"/>
              </w:rPr>
              <w:t>2</w:t>
            </w:r>
            <w:r>
              <w:rPr>
                <w:rFonts w:hint="eastAsia" w:ascii="宋体" w:hAnsi="宋体"/>
                <w:szCs w:val="21"/>
              </w:rPr>
              <w:t>.技术路线</w:t>
            </w:r>
          </w:p>
        </w:tc>
        <w:tc>
          <w:tcPr>
            <w:tcW w:w="1299" w:type="dxa"/>
            <w:vAlign w:val="center"/>
          </w:tcPr>
          <w:p>
            <w:pPr>
              <w:jc w:val="center"/>
              <w:rPr>
                <w:rFonts w:ascii="宋体" w:hAnsi="宋体"/>
                <w:szCs w:val="21"/>
              </w:rPr>
            </w:pPr>
            <w:r>
              <w:rPr>
                <w:rFonts w:ascii="宋体" w:hAnsi="宋体"/>
                <w:szCs w:val="21"/>
              </w:rPr>
              <w:t>8</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210" w:firstLineChars="100"/>
              <w:jc w:val="left"/>
              <w:rPr>
                <w:rFonts w:ascii="宋体" w:hAnsi="宋体"/>
                <w:szCs w:val="21"/>
              </w:rPr>
            </w:pPr>
            <w:r>
              <w:rPr>
                <w:rFonts w:ascii="宋体" w:hAnsi="宋体"/>
                <w:szCs w:val="21"/>
              </w:rPr>
              <w:t>3</w:t>
            </w:r>
            <w:r>
              <w:rPr>
                <w:rFonts w:hint="eastAsia" w:ascii="宋体" w:hAnsi="宋体"/>
                <w:szCs w:val="21"/>
              </w:rPr>
              <w:t>.工艺水平</w:t>
            </w:r>
          </w:p>
        </w:tc>
        <w:tc>
          <w:tcPr>
            <w:tcW w:w="1299" w:type="dxa"/>
            <w:vAlign w:val="center"/>
          </w:tcPr>
          <w:p>
            <w:pPr>
              <w:jc w:val="center"/>
              <w:rPr>
                <w:rFonts w:ascii="宋体" w:hAnsi="宋体"/>
                <w:szCs w:val="21"/>
              </w:rPr>
            </w:pPr>
            <w:r>
              <w:rPr>
                <w:rFonts w:ascii="宋体" w:hAnsi="宋体"/>
                <w:szCs w:val="21"/>
              </w:rPr>
              <w:t>4</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gridSpan w:val="3"/>
            <w:vAlign w:val="center"/>
          </w:tcPr>
          <w:p>
            <w:pPr>
              <w:jc w:val="center"/>
              <w:rPr>
                <w:rFonts w:ascii="宋体" w:hAnsi="宋体"/>
                <w:b/>
                <w:bCs/>
                <w:szCs w:val="21"/>
              </w:rPr>
            </w:pPr>
            <w:r>
              <w:rPr>
                <w:rFonts w:hint="eastAsia" w:ascii="宋体" w:hAnsi="宋体"/>
                <w:b/>
                <w:bCs/>
                <w:szCs w:val="21"/>
              </w:rPr>
              <w:t>二、管理科学性</w:t>
            </w:r>
          </w:p>
        </w:tc>
        <w:tc>
          <w:tcPr>
            <w:tcW w:w="1299" w:type="dxa"/>
            <w:vAlign w:val="center"/>
          </w:tcPr>
          <w:p>
            <w:pPr>
              <w:jc w:val="center"/>
              <w:rPr>
                <w:rFonts w:ascii="宋体" w:hAnsi="宋体"/>
                <w:b/>
                <w:szCs w:val="21"/>
              </w:rPr>
            </w:pPr>
            <w:r>
              <w:rPr>
                <w:rFonts w:ascii="宋体" w:hAnsi="宋体"/>
                <w:b/>
                <w:szCs w:val="21"/>
              </w:rPr>
              <w:t>25</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ascii="宋体" w:hAnsi="宋体"/>
                <w:szCs w:val="21"/>
              </w:rPr>
              <w:t>1</w:t>
            </w:r>
            <w:r>
              <w:rPr>
                <w:rFonts w:hint="eastAsia" w:ascii="宋体" w:hAnsi="宋体"/>
                <w:szCs w:val="21"/>
              </w:rPr>
              <w:t>.组织结构</w:t>
            </w:r>
          </w:p>
        </w:tc>
        <w:tc>
          <w:tcPr>
            <w:tcW w:w="1299" w:type="dxa"/>
            <w:vAlign w:val="center"/>
          </w:tcPr>
          <w:p>
            <w:pPr>
              <w:jc w:val="center"/>
              <w:rPr>
                <w:rFonts w:ascii="宋体" w:hAnsi="宋体"/>
                <w:szCs w:val="21"/>
              </w:rPr>
            </w:pPr>
            <w:r>
              <w:rPr>
                <w:rFonts w:ascii="宋体" w:hAnsi="宋体"/>
                <w:szCs w:val="21"/>
              </w:rPr>
              <w:t>9</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ascii="宋体" w:hAnsi="宋体"/>
                <w:szCs w:val="21"/>
              </w:rPr>
              <w:t>2</w:t>
            </w:r>
            <w:r>
              <w:rPr>
                <w:rFonts w:hint="eastAsia" w:ascii="宋体" w:hAnsi="宋体"/>
                <w:szCs w:val="21"/>
              </w:rPr>
              <w:t>.成本与工期控制</w:t>
            </w:r>
          </w:p>
        </w:tc>
        <w:tc>
          <w:tcPr>
            <w:tcW w:w="1299" w:type="dxa"/>
            <w:vAlign w:val="center"/>
          </w:tcPr>
          <w:p>
            <w:pPr>
              <w:jc w:val="center"/>
              <w:rPr>
                <w:rFonts w:ascii="宋体" w:hAnsi="宋体"/>
                <w:szCs w:val="21"/>
              </w:rPr>
            </w:pPr>
            <w:r>
              <w:rPr>
                <w:rFonts w:ascii="宋体" w:hAnsi="宋体"/>
                <w:szCs w:val="21"/>
              </w:rPr>
              <w:t>8</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ascii="宋体" w:hAnsi="宋体"/>
                <w:szCs w:val="21"/>
              </w:rPr>
              <w:t>3</w:t>
            </w:r>
            <w:r>
              <w:rPr>
                <w:rFonts w:hint="eastAsia" w:ascii="宋体" w:hAnsi="宋体"/>
                <w:szCs w:val="21"/>
              </w:rPr>
              <w:t>.</w:t>
            </w:r>
            <w:r>
              <w:rPr>
                <w:rFonts w:ascii="宋体" w:hAnsi="宋体"/>
                <w:szCs w:val="21"/>
              </w:rPr>
              <w:t>安全生产</w:t>
            </w:r>
          </w:p>
        </w:tc>
        <w:tc>
          <w:tcPr>
            <w:tcW w:w="1299" w:type="dxa"/>
            <w:vAlign w:val="center"/>
          </w:tcPr>
          <w:p>
            <w:pPr>
              <w:jc w:val="center"/>
              <w:rPr>
                <w:rFonts w:ascii="宋体" w:hAnsi="宋体"/>
                <w:szCs w:val="21"/>
              </w:rPr>
            </w:pPr>
            <w:r>
              <w:rPr>
                <w:rFonts w:ascii="宋体" w:hAnsi="宋体"/>
                <w:szCs w:val="21"/>
              </w:rPr>
              <w:t>8</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gridSpan w:val="3"/>
            <w:vAlign w:val="center"/>
          </w:tcPr>
          <w:p>
            <w:pPr>
              <w:jc w:val="center"/>
              <w:rPr>
                <w:rFonts w:ascii="宋体" w:hAnsi="宋体"/>
                <w:b/>
                <w:bCs/>
                <w:szCs w:val="21"/>
              </w:rPr>
            </w:pPr>
            <w:r>
              <w:rPr>
                <w:rFonts w:hint="eastAsia" w:ascii="宋体" w:hAnsi="宋体"/>
                <w:b/>
                <w:bCs/>
                <w:szCs w:val="21"/>
              </w:rPr>
              <w:t>三、质量水平</w:t>
            </w:r>
          </w:p>
        </w:tc>
        <w:tc>
          <w:tcPr>
            <w:tcW w:w="1299" w:type="dxa"/>
            <w:vAlign w:val="center"/>
          </w:tcPr>
          <w:p>
            <w:pPr>
              <w:jc w:val="center"/>
              <w:rPr>
                <w:rFonts w:ascii="宋体" w:hAnsi="宋体"/>
                <w:b/>
                <w:szCs w:val="21"/>
              </w:rPr>
            </w:pPr>
            <w:r>
              <w:rPr>
                <w:rFonts w:ascii="宋体" w:hAnsi="宋体"/>
                <w:b/>
                <w:szCs w:val="21"/>
              </w:rPr>
              <w:t>25</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ascii="宋体" w:hAnsi="宋体"/>
                <w:szCs w:val="21"/>
              </w:rPr>
              <w:t>1</w:t>
            </w:r>
            <w:r>
              <w:rPr>
                <w:rFonts w:hint="eastAsia" w:ascii="宋体" w:hAnsi="宋体"/>
                <w:szCs w:val="21"/>
              </w:rPr>
              <w:t>.质量控制</w:t>
            </w:r>
          </w:p>
        </w:tc>
        <w:tc>
          <w:tcPr>
            <w:tcW w:w="1299" w:type="dxa"/>
            <w:vAlign w:val="center"/>
          </w:tcPr>
          <w:p>
            <w:pPr>
              <w:jc w:val="center"/>
              <w:rPr>
                <w:rFonts w:ascii="宋体" w:hAnsi="宋体"/>
                <w:szCs w:val="21"/>
              </w:rPr>
            </w:pPr>
            <w:r>
              <w:rPr>
                <w:rFonts w:ascii="宋体" w:hAnsi="宋体"/>
                <w:szCs w:val="21"/>
              </w:rPr>
              <w:t>8</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ascii="宋体" w:hAnsi="宋体"/>
                <w:szCs w:val="21"/>
              </w:rPr>
              <w:t>2</w:t>
            </w:r>
            <w:r>
              <w:rPr>
                <w:rFonts w:hint="eastAsia" w:ascii="宋体" w:hAnsi="宋体"/>
                <w:szCs w:val="21"/>
              </w:rPr>
              <w:t>.成果优良率</w:t>
            </w:r>
          </w:p>
        </w:tc>
        <w:tc>
          <w:tcPr>
            <w:tcW w:w="1299" w:type="dxa"/>
            <w:vAlign w:val="center"/>
          </w:tcPr>
          <w:p>
            <w:pPr>
              <w:jc w:val="center"/>
              <w:rPr>
                <w:rFonts w:ascii="宋体" w:hAnsi="宋体"/>
                <w:szCs w:val="21"/>
              </w:rPr>
            </w:pPr>
            <w:r>
              <w:rPr>
                <w:rFonts w:ascii="宋体" w:hAnsi="宋体"/>
                <w:szCs w:val="21"/>
              </w:rPr>
              <w:t>10</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ascii="宋体" w:hAnsi="宋体"/>
                <w:szCs w:val="21"/>
              </w:rPr>
              <w:t>3</w:t>
            </w:r>
            <w:r>
              <w:rPr>
                <w:rFonts w:hint="eastAsia" w:ascii="宋体" w:hAnsi="宋体"/>
                <w:szCs w:val="21"/>
              </w:rPr>
              <w:t>.文档规范与完整性</w:t>
            </w:r>
          </w:p>
        </w:tc>
        <w:tc>
          <w:tcPr>
            <w:tcW w:w="1299" w:type="dxa"/>
            <w:vAlign w:val="center"/>
          </w:tcPr>
          <w:p>
            <w:pPr>
              <w:jc w:val="center"/>
              <w:rPr>
                <w:rFonts w:ascii="宋体" w:hAnsi="宋体"/>
                <w:szCs w:val="21"/>
              </w:rPr>
            </w:pPr>
            <w:r>
              <w:rPr>
                <w:rFonts w:ascii="宋体" w:hAnsi="宋体"/>
                <w:szCs w:val="21"/>
              </w:rPr>
              <w:t>7</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gridSpan w:val="3"/>
            <w:vAlign w:val="center"/>
          </w:tcPr>
          <w:p>
            <w:pPr>
              <w:jc w:val="center"/>
              <w:rPr>
                <w:rFonts w:ascii="宋体" w:hAnsi="宋体"/>
                <w:b/>
                <w:bCs/>
                <w:szCs w:val="21"/>
              </w:rPr>
            </w:pPr>
            <w:r>
              <w:rPr>
                <w:rFonts w:hint="eastAsia" w:ascii="宋体" w:hAnsi="宋体"/>
                <w:b/>
                <w:bCs/>
                <w:szCs w:val="21"/>
              </w:rPr>
              <w:t>四、社会经济效益</w:t>
            </w:r>
          </w:p>
        </w:tc>
        <w:tc>
          <w:tcPr>
            <w:tcW w:w="1299" w:type="dxa"/>
            <w:vAlign w:val="center"/>
          </w:tcPr>
          <w:p>
            <w:pPr>
              <w:jc w:val="center"/>
              <w:rPr>
                <w:rFonts w:ascii="宋体" w:hAnsi="宋体"/>
                <w:b/>
                <w:szCs w:val="21"/>
              </w:rPr>
            </w:pPr>
            <w:r>
              <w:rPr>
                <w:rFonts w:ascii="宋体" w:hAnsi="宋体"/>
                <w:b/>
                <w:szCs w:val="21"/>
              </w:rPr>
              <w:t>20</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hint="eastAsia" w:ascii="宋体" w:hAnsi="宋体"/>
                <w:szCs w:val="21"/>
              </w:rPr>
              <w:t>1.社会效益</w:t>
            </w:r>
          </w:p>
        </w:tc>
        <w:tc>
          <w:tcPr>
            <w:tcW w:w="1299" w:type="dxa"/>
            <w:vAlign w:val="center"/>
          </w:tcPr>
          <w:p>
            <w:pPr>
              <w:jc w:val="center"/>
              <w:rPr>
                <w:rFonts w:ascii="宋体" w:hAnsi="宋体"/>
                <w:szCs w:val="21"/>
              </w:rPr>
            </w:pPr>
            <w:r>
              <w:rPr>
                <w:rFonts w:hint="eastAsia" w:ascii="宋体" w:hAnsi="宋体"/>
                <w:szCs w:val="21"/>
              </w:rPr>
              <w:t>10</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hint="eastAsia" w:ascii="宋体" w:hAnsi="宋体"/>
                <w:szCs w:val="21"/>
              </w:rPr>
              <w:t>2.经济效益</w:t>
            </w:r>
          </w:p>
        </w:tc>
        <w:tc>
          <w:tcPr>
            <w:tcW w:w="1299" w:type="dxa"/>
            <w:vAlign w:val="center"/>
          </w:tcPr>
          <w:p>
            <w:pPr>
              <w:jc w:val="center"/>
              <w:rPr>
                <w:rFonts w:ascii="宋体" w:hAnsi="宋体"/>
                <w:szCs w:val="21"/>
              </w:rPr>
            </w:pPr>
            <w:r>
              <w:rPr>
                <w:rFonts w:hint="eastAsia" w:ascii="宋体" w:hAnsi="宋体"/>
                <w:szCs w:val="21"/>
              </w:rPr>
              <w:t>5</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2" w:type="dxa"/>
            <w:gridSpan w:val="3"/>
            <w:vAlign w:val="center"/>
          </w:tcPr>
          <w:p>
            <w:pPr>
              <w:ind w:firstLine="161" w:firstLineChars="77"/>
              <w:rPr>
                <w:rFonts w:ascii="宋体" w:hAnsi="宋体"/>
                <w:szCs w:val="21"/>
              </w:rPr>
            </w:pPr>
            <w:r>
              <w:rPr>
                <w:rFonts w:hint="eastAsia" w:ascii="宋体" w:hAnsi="宋体"/>
                <w:szCs w:val="21"/>
              </w:rPr>
              <w:t>3.用户满意度</w:t>
            </w:r>
          </w:p>
        </w:tc>
        <w:tc>
          <w:tcPr>
            <w:tcW w:w="1299" w:type="dxa"/>
            <w:vAlign w:val="center"/>
          </w:tcPr>
          <w:p>
            <w:pPr>
              <w:jc w:val="center"/>
              <w:rPr>
                <w:rFonts w:ascii="宋体" w:hAnsi="宋体"/>
                <w:szCs w:val="21"/>
              </w:rPr>
            </w:pPr>
            <w:r>
              <w:rPr>
                <w:rFonts w:hint="eastAsia" w:ascii="宋体" w:hAnsi="宋体"/>
                <w:szCs w:val="21"/>
              </w:rPr>
              <w:t>5</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gridSpan w:val="3"/>
            <w:vAlign w:val="center"/>
          </w:tcPr>
          <w:p>
            <w:pPr>
              <w:jc w:val="center"/>
              <w:rPr>
                <w:rFonts w:ascii="宋体" w:hAnsi="宋体"/>
                <w:szCs w:val="21"/>
              </w:rPr>
            </w:pPr>
            <w:r>
              <w:rPr>
                <w:rFonts w:hint="eastAsia" w:ascii="宋体" w:hAnsi="宋体"/>
                <w:b/>
                <w:bCs/>
                <w:szCs w:val="21"/>
              </w:rPr>
              <w:t>五、规模</w:t>
            </w:r>
          </w:p>
        </w:tc>
        <w:tc>
          <w:tcPr>
            <w:tcW w:w="1299" w:type="dxa"/>
            <w:vAlign w:val="center"/>
          </w:tcPr>
          <w:p>
            <w:pPr>
              <w:jc w:val="center"/>
              <w:rPr>
                <w:rFonts w:ascii="宋体" w:hAnsi="宋体"/>
                <w:b/>
                <w:szCs w:val="21"/>
              </w:rPr>
            </w:pPr>
            <w:r>
              <w:rPr>
                <w:rFonts w:hint="eastAsia" w:ascii="宋体" w:hAnsi="宋体"/>
                <w:b/>
                <w:szCs w:val="21"/>
              </w:rPr>
              <w:t>10</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gridSpan w:val="3"/>
            <w:vAlign w:val="center"/>
          </w:tcPr>
          <w:p>
            <w:pPr>
              <w:jc w:val="center"/>
              <w:rPr>
                <w:b/>
                <w:bCs/>
                <w:szCs w:val="21"/>
              </w:rPr>
            </w:pPr>
            <w:r>
              <w:rPr>
                <w:rFonts w:hint="eastAsia"/>
                <w:b/>
                <w:bCs/>
                <w:szCs w:val="21"/>
              </w:rPr>
              <w:t>合  计</w:t>
            </w:r>
          </w:p>
        </w:tc>
        <w:tc>
          <w:tcPr>
            <w:tcW w:w="1299" w:type="dxa"/>
            <w:vAlign w:val="center"/>
          </w:tcPr>
          <w:p>
            <w:pPr>
              <w:jc w:val="center"/>
              <w:rPr>
                <w:rFonts w:ascii="宋体" w:hAnsi="宋体"/>
                <w:b/>
                <w:bCs/>
                <w:szCs w:val="21"/>
              </w:rPr>
            </w:pPr>
            <w:r>
              <w:rPr>
                <w:rFonts w:ascii="宋体" w:hAnsi="宋体"/>
                <w:b/>
                <w:bCs/>
                <w:szCs w:val="21"/>
              </w:rPr>
              <w:t>100</w:t>
            </w: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rFonts w:ascii="宋体" w:hAnsi="宋体"/>
                <w:sz w:val="18"/>
                <w:szCs w:val="18"/>
              </w:rPr>
            </w:pPr>
          </w:p>
        </w:tc>
        <w:tc>
          <w:tcPr>
            <w:tcW w:w="973" w:type="dxa"/>
            <w:vAlign w:val="center"/>
          </w:tcPr>
          <w:p>
            <w:pPr>
              <w:jc w:val="center"/>
              <w:rPr>
                <w:szCs w:val="21"/>
              </w:rPr>
            </w:pPr>
          </w:p>
        </w:tc>
      </w:tr>
    </w:tbl>
    <w:p>
      <w:pPr>
        <w:rPr>
          <w:sz w:val="24"/>
        </w:rPr>
      </w:pPr>
    </w:p>
    <w:p>
      <w:pPr>
        <w:spacing w:before="156" w:beforeLines="50"/>
        <w:ind w:firstLine="1200" w:firstLineChars="500"/>
        <w:rPr>
          <w:sz w:val="24"/>
        </w:rPr>
      </w:pPr>
      <w:r>
        <w:rPr>
          <w:rFonts w:hint="eastAsia"/>
          <w:sz w:val="24"/>
        </w:rPr>
        <w:t>评委：</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p>
    <w:sectPr>
      <w:pgSz w:w="11906" w:h="16838"/>
      <w:pgMar w:top="1588" w:right="1797" w:bottom="1134"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2E3"/>
    <w:rsid w:val="00075BC1"/>
    <w:rsid w:val="000B3F95"/>
    <w:rsid w:val="00101AF8"/>
    <w:rsid w:val="00110F55"/>
    <w:rsid w:val="00132A9D"/>
    <w:rsid w:val="00170D2F"/>
    <w:rsid w:val="00172A27"/>
    <w:rsid w:val="001A3C54"/>
    <w:rsid w:val="001C0FC6"/>
    <w:rsid w:val="001D4749"/>
    <w:rsid w:val="001D6A64"/>
    <w:rsid w:val="00212901"/>
    <w:rsid w:val="0023604F"/>
    <w:rsid w:val="0025415B"/>
    <w:rsid w:val="0026145B"/>
    <w:rsid w:val="002871F2"/>
    <w:rsid w:val="002D4C1D"/>
    <w:rsid w:val="003003B5"/>
    <w:rsid w:val="0030541E"/>
    <w:rsid w:val="00311E45"/>
    <w:rsid w:val="00327FAC"/>
    <w:rsid w:val="003439B4"/>
    <w:rsid w:val="00350038"/>
    <w:rsid w:val="0036791E"/>
    <w:rsid w:val="0038720A"/>
    <w:rsid w:val="003A3301"/>
    <w:rsid w:val="003C1592"/>
    <w:rsid w:val="003E2045"/>
    <w:rsid w:val="00402623"/>
    <w:rsid w:val="0043223D"/>
    <w:rsid w:val="00433D7B"/>
    <w:rsid w:val="00461D07"/>
    <w:rsid w:val="00464EB2"/>
    <w:rsid w:val="004772E1"/>
    <w:rsid w:val="0049080C"/>
    <w:rsid w:val="00497EBA"/>
    <w:rsid w:val="004B571F"/>
    <w:rsid w:val="004D6E2C"/>
    <w:rsid w:val="004E384E"/>
    <w:rsid w:val="00503A83"/>
    <w:rsid w:val="00552E17"/>
    <w:rsid w:val="00562195"/>
    <w:rsid w:val="00562F82"/>
    <w:rsid w:val="00566B5E"/>
    <w:rsid w:val="00574F35"/>
    <w:rsid w:val="005B2B95"/>
    <w:rsid w:val="005D48B1"/>
    <w:rsid w:val="005E7E4F"/>
    <w:rsid w:val="00607AA2"/>
    <w:rsid w:val="006603F6"/>
    <w:rsid w:val="00663631"/>
    <w:rsid w:val="00665DEF"/>
    <w:rsid w:val="00670737"/>
    <w:rsid w:val="00675B1D"/>
    <w:rsid w:val="00676D67"/>
    <w:rsid w:val="00682537"/>
    <w:rsid w:val="006875BA"/>
    <w:rsid w:val="006A3E8F"/>
    <w:rsid w:val="00701369"/>
    <w:rsid w:val="00701A4E"/>
    <w:rsid w:val="0071066D"/>
    <w:rsid w:val="007212F7"/>
    <w:rsid w:val="00754A1F"/>
    <w:rsid w:val="00755907"/>
    <w:rsid w:val="0075636C"/>
    <w:rsid w:val="007A43DB"/>
    <w:rsid w:val="007D4A19"/>
    <w:rsid w:val="007D4A5D"/>
    <w:rsid w:val="007F2299"/>
    <w:rsid w:val="00805F17"/>
    <w:rsid w:val="00836639"/>
    <w:rsid w:val="0085194F"/>
    <w:rsid w:val="0086779E"/>
    <w:rsid w:val="0087359D"/>
    <w:rsid w:val="008C709D"/>
    <w:rsid w:val="008D3BDA"/>
    <w:rsid w:val="008D510E"/>
    <w:rsid w:val="008F1247"/>
    <w:rsid w:val="008F192A"/>
    <w:rsid w:val="009251AA"/>
    <w:rsid w:val="00926E5C"/>
    <w:rsid w:val="009637CB"/>
    <w:rsid w:val="0098336B"/>
    <w:rsid w:val="00986720"/>
    <w:rsid w:val="009B4200"/>
    <w:rsid w:val="009B5982"/>
    <w:rsid w:val="009E2525"/>
    <w:rsid w:val="009E6FED"/>
    <w:rsid w:val="00A000CA"/>
    <w:rsid w:val="00A62D8E"/>
    <w:rsid w:val="00AB692C"/>
    <w:rsid w:val="00AB6CAE"/>
    <w:rsid w:val="00AD0C04"/>
    <w:rsid w:val="00AD28F9"/>
    <w:rsid w:val="00B10987"/>
    <w:rsid w:val="00B2794C"/>
    <w:rsid w:val="00B4708C"/>
    <w:rsid w:val="00BA2083"/>
    <w:rsid w:val="00BA6703"/>
    <w:rsid w:val="00BB3915"/>
    <w:rsid w:val="00C440C8"/>
    <w:rsid w:val="00C56A50"/>
    <w:rsid w:val="00C57212"/>
    <w:rsid w:val="00C82699"/>
    <w:rsid w:val="00C94014"/>
    <w:rsid w:val="00C94820"/>
    <w:rsid w:val="00CA3204"/>
    <w:rsid w:val="00CB2486"/>
    <w:rsid w:val="00CB32A9"/>
    <w:rsid w:val="00CC245B"/>
    <w:rsid w:val="00CD5D93"/>
    <w:rsid w:val="00CE014C"/>
    <w:rsid w:val="00CF2E30"/>
    <w:rsid w:val="00D05588"/>
    <w:rsid w:val="00D67006"/>
    <w:rsid w:val="00DA6EDA"/>
    <w:rsid w:val="00DD3A34"/>
    <w:rsid w:val="00DE5E82"/>
    <w:rsid w:val="00DF3A74"/>
    <w:rsid w:val="00E041E3"/>
    <w:rsid w:val="00E06537"/>
    <w:rsid w:val="00E54D71"/>
    <w:rsid w:val="00E7331D"/>
    <w:rsid w:val="00E8178C"/>
    <w:rsid w:val="00EC0839"/>
    <w:rsid w:val="00ED1573"/>
    <w:rsid w:val="00EE4451"/>
    <w:rsid w:val="00F24CCF"/>
    <w:rsid w:val="00F32532"/>
    <w:rsid w:val="00F51968"/>
    <w:rsid w:val="00F73A39"/>
    <w:rsid w:val="00F75904"/>
    <w:rsid w:val="00FA53AE"/>
    <w:rsid w:val="00FB48E7"/>
    <w:rsid w:val="00FC7874"/>
    <w:rsid w:val="00FE375A"/>
    <w:rsid w:val="00FF269D"/>
    <w:rsid w:val="00FF2E52"/>
    <w:rsid w:val="029A067F"/>
    <w:rsid w:val="16261D85"/>
    <w:rsid w:val="28396B0D"/>
    <w:rsid w:val="340122F5"/>
    <w:rsid w:val="3B2D17A6"/>
    <w:rsid w:val="3D2518E1"/>
    <w:rsid w:val="4A48155A"/>
    <w:rsid w:val="56F15EAF"/>
    <w:rsid w:val="5CE44F77"/>
    <w:rsid w:val="66380C43"/>
    <w:rsid w:val="6A31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lang w:val="zh-CN" w:eastAsia="zh-CN"/>
    </w:rPr>
  </w:style>
  <w:style w:type="character" w:styleId="7">
    <w:name w:val="page number"/>
    <w:basedOn w:val="6"/>
    <w:uiPriority w:val="0"/>
  </w:style>
  <w:style w:type="character" w:customStyle="1" w:styleId="8">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2615</Characters>
  <Lines>21</Lines>
  <Paragraphs>6</Paragraphs>
  <TotalTime>17</TotalTime>
  <ScaleCrop>false</ScaleCrop>
  <LinksUpToDate>false</LinksUpToDate>
  <CharactersWithSpaces>3067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2021-04-22T08:12:00Z</dcterms:created>
  <dc:creator>jyo</dc:creator>
  <cp:lastModifiedBy>leovo</cp:lastModifiedBy>
  <cp:lastPrinted>2015-10-09T07:10:00Z</cp:lastPrinted>
  <dcterms:modified xsi:type="dcterms:W3CDTF">2021-07-12T03:00:05Z</dcterms:modified>
  <dc:title>山东省优秀测绘工程奖评选办法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AEC264A31E3342DABB51C2D703D80F55</vt:lpwstr>
  </property>
</Properties>
</file>